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jc w:val="center"/>
        <w:rPr>
          <w:rFonts w:hint="eastAsia" w:ascii="仿宋_GB2312" w:hAnsi="仿宋_GB2312" w:eastAsia="仿宋_GB2312" w:cs="仿宋_GB2312"/>
          <w:b/>
          <w:sz w:val="30"/>
          <w:szCs w:val="30"/>
          <w:lang w:val="en-US" w:eastAsia="zh-CN"/>
        </w:rPr>
      </w:pPr>
      <w:r>
        <w:rPr>
          <w:rFonts w:hint="eastAsia" w:ascii="仿宋_GB2312" w:hAnsi="仿宋_GB2312" w:eastAsia="仿宋_GB2312" w:cs="仿宋_GB2312"/>
          <w:b/>
          <w:sz w:val="30"/>
          <w:szCs w:val="30"/>
          <w:lang w:val="en-US" w:eastAsia="zh-CN"/>
        </w:rPr>
        <w:t>ZZ005 装配式建筑构件安装赛项赛题第一套</w:t>
      </w:r>
    </w:p>
    <w:p>
      <w:pPr>
        <w:pStyle w:val="14"/>
        <w:jc w:val="center"/>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202</w:t>
      </w:r>
      <w:r>
        <w:rPr>
          <w:rFonts w:hint="eastAsia" w:ascii="仿宋_GB2312" w:hAnsi="仿宋_GB2312" w:eastAsia="仿宋_GB2312" w:cs="仿宋_GB2312"/>
          <w:b/>
          <w:sz w:val="30"/>
          <w:szCs w:val="30"/>
          <w:lang w:val="en-US" w:eastAsia="zh-CN"/>
        </w:rPr>
        <w:t>3</w:t>
      </w:r>
      <w:r>
        <w:rPr>
          <w:rFonts w:hint="eastAsia" w:ascii="仿宋_GB2312" w:hAnsi="仿宋_GB2312" w:eastAsia="仿宋_GB2312" w:cs="仿宋_GB2312"/>
          <w:b/>
          <w:sz w:val="30"/>
          <w:szCs w:val="30"/>
        </w:rPr>
        <w:t>全国职业院校技能大赛中职组装配式建筑构</w:t>
      </w:r>
      <w:r>
        <w:rPr>
          <w:rFonts w:hint="eastAsia" w:ascii="仿宋_GB2312" w:hAnsi="仿宋_GB2312" w:eastAsia="仿宋_GB2312" w:cs="仿宋_GB2312"/>
          <w:b/>
          <w:sz w:val="30"/>
          <w:szCs w:val="30"/>
          <w:lang w:val="en-US" w:eastAsia="zh-CN"/>
        </w:rPr>
        <w:t>件安装</w:t>
      </w:r>
      <w:r>
        <w:rPr>
          <w:rFonts w:hint="eastAsia" w:ascii="仿宋_GB2312" w:hAnsi="仿宋_GB2312" w:eastAsia="仿宋_GB2312" w:cs="仿宋_GB2312"/>
          <w:b/>
          <w:sz w:val="30"/>
          <w:szCs w:val="30"/>
        </w:rPr>
        <w:t>赛项</w:t>
      </w:r>
    </w:p>
    <w:p>
      <w:pPr>
        <w:pStyle w:val="14"/>
        <w:jc w:val="center"/>
        <w:rPr>
          <w:rFonts w:hint="default" w:cs="IDÑ˛"/>
          <w:kern w:val="0"/>
          <w:sz w:val="30"/>
          <w:szCs w:val="30"/>
          <w:lang w:val="en-US"/>
        </w:rPr>
      </w:pPr>
      <w:r>
        <w:rPr>
          <w:rFonts w:hint="eastAsia" w:ascii="仿宋_GB2312" w:hAnsi="仿宋_GB2312" w:eastAsia="仿宋_GB2312" w:cs="仿宋_GB2312"/>
          <w:b/>
          <w:sz w:val="30"/>
          <w:szCs w:val="30"/>
          <w:lang w:val="en-US" w:eastAsia="zh-CN"/>
        </w:rPr>
        <w:t>模块一理论知识竞赛试卷</w:t>
      </w:r>
    </w:p>
    <w:p>
      <w:pPr>
        <w:pStyle w:val="14"/>
        <w:jc w:val="both"/>
        <w:rPr>
          <w:rFonts w:hint="eastAsia" w:cs="IDÑ˛"/>
          <w:kern w:val="0"/>
          <w:sz w:val="30"/>
          <w:szCs w:val="30"/>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一、单项选择题 （共50题，每题1分，计50分）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1.装配整体式混凝土剪力墙结构，（  ）剪力墙采用预制墙板构建成的装配整体式混凝土结构，简称装配整体式剪力墙结构。</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A.全部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B.部分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C.全部或部分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D.整体</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  ）是各种装配式整体混凝土结构的重要接头形式。</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A.钢筋套筒灌浆连接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B.焊接连接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C.机械连接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D.绑扎连接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3.根据15G107图集中规定，对编号为DBS1-67-3924-22的预制构件表述不正确的是（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A.表示叠合板构件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B.单向板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C.预制板厚度为60mm，后浇叠合层厚度为70mm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D.预制底板的标志跨度为3900，标志宽度为2400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4.根据图集G310，图中的节点构造是（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drawing>
          <wp:anchor distT="0" distB="0" distL="114300" distR="114300" simplePos="0" relativeHeight="251663360" behindDoc="1" locked="0" layoutInCell="1" allowOverlap="1">
            <wp:simplePos x="0" y="0"/>
            <wp:positionH relativeFrom="column">
              <wp:posOffset>1904365</wp:posOffset>
            </wp:positionH>
            <wp:positionV relativeFrom="paragraph">
              <wp:posOffset>-180340</wp:posOffset>
            </wp:positionV>
            <wp:extent cx="2037715" cy="1246505"/>
            <wp:effectExtent l="0" t="0" r="635" b="10795"/>
            <wp:wrapTight wrapText="bothSides">
              <wp:wrapPolygon>
                <wp:start x="0" y="0"/>
                <wp:lineTo x="0" y="21127"/>
                <wp:lineTo x="21405" y="21127"/>
                <wp:lineTo x="21405" y="0"/>
                <wp:lineTo x="0" y="0"/>
              </wp:wrapPolygon>
            </wp:wrapTight>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pic:cNvPicPr>
                      <a:picLocks noChangeAspect="1"/>
                    </pic:cNvPicPr>
                  </pic:nvPicPr>
                  <pic:blipFill>
                    <a:blip r:embed="rId4"/>
                    <a:stretch>
                      <a:fillRect/>
                    </a:stretch>
                  </pic:blipFill>
                  <pic:spPr>
                    <a:xfrm>
                      <a:off x="0" y="0"/>
                      <a:ext cx="2037715" cy="1246505"/>
                    </a:xfrm>
                    <a:prstGeom prst="rect">
                      <a:avLst/>
                    </a:prstGeom>
                    <a:noFill/>
                    <a:ln>
                      <a:noFill/>
                    </a:ln>
                  </pic:spPr>
                </pic:pic>
              </a:graphicData>
            </a:graphic>
          </wp:anchor>
        </w:drawing>
      </w:r>
      <w:r>
        <w:rPr>
          <w:rFonts w:hint="eastAsia" w:ascii="仿宋_GB2312" w:hAnsi="仿宋_GB2312" w:eastAsia="仿宋_GB2312" w:cs="仿宋_GB2312"/>
          <w:sz w:val="28"/>
          <w:szCs w:val="28"/>
          <w:lang w:val="en-US" w:eastAsia="zh-CN"/>
        </w:rPr>
        <w:t xml:space="preserve">A.构造边缘端柱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B.构造边缘暗柱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C.约束边缘翼墙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D.构造边缘转角器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5、下列关于预制构件脱模验算受力分析，错误的是（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A.等效静力荷载标准值是自重标准值</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 等效静力荷载标准值不宜小于构件自重标准值的1.5倍</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C.动力系数不宜小于1.2</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D.脱模吸附力不宜小于1.5KN/m2</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6、预制构件深化设计图不包括（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A.预制构件模板图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B.预制构件墙板轮廓图</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C.预制构件配筋图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D.预制构件预留预埋图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7.在国务院办公厅《关于大力发展装配式建筑的指导意见》中,“工作目标力争10年左右的时间，使装配式建筑占新建建筑面积的比例达到（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A.20%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B.30%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C.40%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D.50%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8.以下哪一类拆分图不是预制构件必须独立绘制的（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A.构件模板图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B.配筋图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C.预留预埋件图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D.三维视图</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9.预制构件生产前，应由建设单位组织（  ）单位进行设计文件交底和会审。A.设计；</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B.设计、生产；</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C.设计、生产、施工；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D.设计、生产、施工、监理。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10．预制构件和部品经检查合格后，宜设置（ ）。预制构件和部品出厂时，应出具质量证明文件。</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A.合格证</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B.工序标识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C.表面标识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D.存放标识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11.带面砖或石材饰面的预制构件宜采用（  ）工艺制作。</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A.正打</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B.反打</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C.正打一次成型</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D.反打一次成型</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12.吊装作业时，如遇到雨、雪、雾天气，或者风力大于（ ）级时，不得进行吊装作业。</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A.4</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C.6</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D.7</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13.装配式结构的后浇混凝土部位在浇筑前应进行（ ）验收。</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A.分部工程</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B.分项工程</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C.检验批</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D.隐蔽工程</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14. 《装配式混凝土结构技术规程》JGJ 1-2014规定，预制构件堆放时，构件支垫应坚实，垫块在构件下的位置宜与脱模、吊装时起吊的位置（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A.外移30cm</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B.内移30cm</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C.一致</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D.以上说法均不对</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15. 《装配式混凝土建筑技术标准》GB/T 51231预制楼板、叠合板、空调板、阳台板等构件应平放，叠放层数不宜超过（ ）层。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A.4</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B.6</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C.8</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D.10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16.《装配式混凝土建筑技术标准》GB/T 51231等标准文件规定，预制构件吊装过程中，宜设置（ ）控制构件转动。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A.铁丝</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B.钢丝</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C.缆风绳</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D.防滑鞋</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17.《装配式混凝土结构技术规程》</w:t>
      </w:r>
      <w:r>
        <w:rPr>
          <w:rFonts w:hint="eastAsia" w:ascii="仿宋_GB2312" w:hAnsi="仿宋_GB2312" w:eastAsia="仿宋_GB2312" w:cs="仿宋_GB2312"/>
          <w:sz w:val="28"/>
          <w:szCs w:val="28"/>
          <w:lang w:val="en-US" w:eastAsia="zh-CN"/>
        </w:rPr>
        <w:fldChar w:fldCharType="begin"/>
      </w:r>
      <w:r>
        <w:rPr>
          <w:rFonts w:hint="eastAsia" w:ascii="仿宋_GB2312" w:hAnsi="仿宋_GB2312" w:eastAsia="仿宋_GB2312" w:cs="仿宋_GB2312"/>
          <w:sz w:val="28"/>
          <w:szCs w:val="28"/>
          <w:lang w:val="en-US" w:eastAsia="zh-CN"/>
        </w:rPr>
        <w:instrText xml:space="preserve"> HYPERLINK "http://www.zzguifan.com/webarbs/book/229/1232723.shtml" \t "_self" </w:instrText>
      </w:r>
      <w:r>
        <w:rPr>
          <w:rFonts w:hint="eastAsia" w:ascii="仿宋_GB2312" w:hAnsi="仿宋_GB2312" w:eastAsia="仿宋_GB2312" w:cs="仿宋_GB2312"/>
          <w:sz w:val="28"/>
          <w:szCs w:val="28"/>
          <w:lang w:val="en-US" w:eastAsia="zh-CN"/>
        </w:rPr>
        <w:fldChar w:fldCharType="separate"/>
      </w:r>
      <w:r>
        <w:rPr>
          <w:rFonts w:hint="eastAsia" w:ascii="仿宋_GB2312" w:hAnsi="仿宋_GB2312" w:eastAsia="仿宋_GB2312" w:cs="仿宋_GB2312"/>
          <w:sz w:val="28"/>
          <w:szCs w:val="28"/>
          <w:lang w:val="en-US" w:eastAsia="zh-CN"/>
        </w:rPr>
        <w:t>JGJ1-2014</w:t>
      </w:r>
      <w:r>
        <w:rPr>
          <w:rFonts w:hint="eastAsia" w:ascii="仿宋_GB2312" w:hAnsi="仿宋_GB2312" w:eastAsia="仿宋_GB2312" w:cs="仿宋_GB2312"/>
          <w:sz w:val="28"/>
          <w:szCs w:val="28"/>
          <w:lang w:val="en-US" w:eastAsia="zh-CN"/>
        </w:rPr>
        <w:fldChar w:fldCharType="end"/>
      </w:r>
      <w:r>
        <w:rPr>
          <w:rFonts w:hint="eastAsia" w:ascii="仿宋_GB2312" w:hAnsi="仿宋_GB2312" w:eastAsia="仿宋_GB2312" w:cs="仿宋_GB2312"/>
          <w:sz w:val="28"/>
          <w:szCs w:val="28"/>
          <w:lang w:val="en-US" w:eastAsia="zh-CN"/>
        </w:rPr>
        <w:t>规定：预制构件的混凝土强度等级不宜低于（ ）；预应力混凝土预制构件的混凝土强度等级不宜低于C40，且不应低于C30；现浇混凝土的强度等级不应低于C25。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A.C20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B.C25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C.C30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D.C40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18.纵向受拉钢筋绑扎搭接接头的搭接长度，应根据位于同一连接区段内的钢筋搭接接头面积百分率计算，且不应小于（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A.100mm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B.200mm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C.300mm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D.400mm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19.当详图与被索引的图样不在同一张图纸内时，下列符号表达方式正确的是（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w:t>
      </w:r>
      <w:r>
        <w:rPr>
          <w:rFonts w:hint="eastAsia" w:ascii="仿宋_GB2312" w:hAnsi="仿宋_GB2312" w:eastAsia="仿宋_GB2312" w:cs="仿宋_GB2312"/>
          <w:sz w:val="28"/>
          <w:szCs w:val="28"/>
          <w:lang w:val="en-US" w:eastAsia="zh-CN"/>
        </w:rPr>
        <w:drawing>
          <wp:inline distT="0" distB="0" distL="114300" distR="114300">
            <wp:extent cx="346710" cy="302260"/>
            <wp:effectExtent l="0" t="0" r="15240" b="2540"/>
            <wp:docPr id="6" name="图片 2" descr="C:\Users\ADMINI~1\AppData\Local\Temp\ksohtml13892\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C:\Users\ADMINI~1\AppData\Local\Temp\ksohtml13892\wps5.jpg"/>
                    <pic:cNvPicPr>
                      <a:picLocks noChangeAspect="1"/>
                    </pic:cNvPicPr>
                  </pic:nvPicPr>
                  <pic:blipFill>
                    <a:blip r:embed="rId5"/>
                    <a:stretch>
                      <a:fillRect/>
                    </a:stretch>
                  </pic:blipFill>
                  <pic:spPr>
                    <a:xfrm>
                      <a:off x="0" y="0"/>
                      <a:ext cx="346710" cy="302260"/>
                    </a:xfrm>
                    <a:prstGeom prst="rect">
                      <a:avLst/>
                    </a:prstGeom>
                    <a:noFill/>
                    <a:ln>
                      <a:noFill/>
                    </a:ln>
                  </pic:spPr>
                </pic:pic>
              </a:graphicData>
            </a:graphic>
          </wp:inline>
        </w:drawing>
      </w:r>
      <w:r>
        <w:rPr>
          <w:rFonts w:hint="eastAsia" w:ascii="仿宋_GB2312" w:hAnsi="仿宋_GB2312" w:eastAsia="仿宋_GB2312" w:cs="仿宋_GB2312"/>
          <w:sz w:val="28"/>
          <w:szCs w:val="28"/>
          <w:lang w:val="en-US" w:eastAsia="zh-CN"/>
        </w:rPr>
        <w:t xml:space="preserve">             B、</w:t>
      </w:r>
      <w:r>
        <w:rPr>
          <w:rFonts w:hint="eastAsia" w:ascii="仿宋_GB2312" w:hAnsi="仿宋_GB2312" w:eastAsia="仿宋_GB2312" w:cs="仿宋_GB2312"/>
          <w:sz w:val="28"/>
          <w:szCs w:val="28"/>
          <w:lang w:val="en-US" w:eastAsia="zh-CN"/>
        </w:rPr>
        <w:drawing>
          <wp:inline distT="0" distB="0" distL="114300" distR="114300">
            <wp:extent cx="316865" cy="265430"/>
            <wp:effectExtent l="0" t="0" r="6985" b="1270"/>
            <wp:docPr id="3" name="图片 3" descr="C:\Users\ADMINI~1\AppData\Local\Temp\ksohtml13892\wp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DMINI~1\AppData\Local\Temp\ksohtml13892\wps6.jpg"/>
                    <pic:cNvPicPr>
                      <a:picLocks noChangeAspect="1"/>
                    </pic:cNvPicPr>
                  </pic:nvPicPr>
                  <pic:blipFill>
                    <a:blip r:embed="rId6"/>
                    <a:stretch>
                      <a:fillRect/>
                    </a:stretch>
                  </pic:blipFill>
                  <pic:spPr>
                    <a:xfrm>
                      <a:off x="0" y="0"/>
                      <a:ext cx="316865" cy="265430"/>
                    </a:xfrm>
                    <a:prstGeom prst="rect">
                      <a:avLst/>
                    </a:prstGeom>
                    <a:noFill/>
                    <a:ln>
                      <a:noFill/>
                    </a:ln>
                  </pic:spPr>
                </pic:pic>
              </a:graphicData>
            </a:graphic>
          </wp:inline>
        </w:drawing>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C、1-1              D、2/3</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20.预制混凝土模具的底模宜采用整体材料制造，如需拼接，底模宽度小于2m时，焊缝不得多于（）条。</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A．1</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B．2</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C．3</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D．4</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21.普通硅酸盐水泥初凝不小于（），终凝不大于（）</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A.50min; 300min</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B.45min; 390min</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C.45min; 600min</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D.50min;600min</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22.预制构件生产所需钢筋等原材料，（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A.确定其合格后，方可使用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B.不需要确定合格，直接使用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C.不经试验检测，可直接使用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D.是否合格，与我无关</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23.《装配式混凝土建筑技术标准》GB/T 51231-2016规定，预制墙板构件中预埋钢板与混凝土面层平面高差的允许偏差为（  ）mm。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  0，3</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 0，±3</w:t>
      </w:r>
    </w:p>
    <w:p>
      <w:pPr>
        <w:pStyle w:val="23"/>
        <w:numPr>
          <w:ilvl w:val="0"/>
          <w:numId w:val="0"/>
        </w:numPr>
        <w:tabs>
          <w:tab w:val="left" w:pos="315"/>
          <w:tab w:val="left" w:pos="4200"/>
          <w:tab w:val="left" w:pos="6090"/>
        </w:tabs>
        <w:snapToGrid w:val="0"/>
        <w:spacing w:line="300" w:lineRule="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 0，-3</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 0，-5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24.《混凝土结构工程施工质量验收规范》GB 50204-2015规定，预制构件预留插筋外露长度允许偏差为（ ）mm。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A.15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C.+10，-5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D.±3</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25.预制构件混凝土浇筑完毕或压面工序完成后应及时（ ）脱模前不得揭开。</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A.拆除模具</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B.干燥通风</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C.覆盖保湿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D.洒水养护</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26.预制板、梁和桁架等简支构件，进行结构性能检验时，应一端采用（ ），另一端采用（ ）支承。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A.固端支承  滚动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B.滚动支承  活动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C.铰支承  滚动</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D.铰支承  固端</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27.在预制混凝土剪力墙平面布置图中，内墙板的装配方向用（ ）表示。</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mc:AlternateContent>
          <mc:Choice Requires="wps">
            <w:drawing>
              <wp:anchor distT="0" distB="0" distL="114300" distR="114300" simplePos="0" relativeHeight="251659264" behindDoc="0" locked="0" layoutInCell="1" allowOverlap="1">
                <wp:simplePos x="0" y="0"/>
                <wp:positionH relativeFrom="column">
                  <wp:posOffset>330835</wp:posOffset>
                </wp:positionH>
                <wp:positionV relativeFrom="paragraph">
                  <wp:posOffset>27940</wp:posOffset>
                </wp:positionV>
                <wp:extent cx="133350" cy="152400"/>
                <wp:effectExtent l="9525" t="15875" r="28575" b="22225"/>
                <wp:wrapNone/>
                <wp:docPr id="277" name="等腰三角形 277"/>
                <wp:cNvGraphicFramePr/>
                <a:graphic xmlns:a="http://schemas.openxmlformats.org/drawingml/2006/main">
                  <a:graphicData uri="http://schemas.microsoft.com/office/word/2010/wordprocessingShape">
                    <wps:wsp>
                      <wps:cNvSpPr/>
                      <wps:spPr>
                        <a:xfrm>
                          <a:off x="0" y="0"/>
                          <a:ext cx="133350" cy="152400"/>
                        </a:xfrm>
                        <a:prstGeom prst="triangle">
                          <a:avLst/>
                        </a:prstGeom>
                        <a:solidFill>
                          <a:srgbClr val="7F7F7F">
                            <a:lumMod val="50000"/>
                          </a:srgbClr>
                        </a:solidFill>
                        <a:ln w="12700" cap="flat" cmpd="sng" algn="ctr">
                          <a:solidFill>
                            <a:srgbClr val="000000"/>
                          </a:solidFill>
                          <a:prstDash val="solid"/>
                          <a:miter lim="800000"/>
                        </a:ln>
                        <a:effectLst/>
                      </wps:spPr>
                      <wps:txbx>
                        <w:txbxContent>
                          <w:p>
                            <w:pPr>
                              <w:ind w:firstLine="480"/>
                              <w:jc w:val="center"/>
                            </w:pPr>
                            <w:r>
                              <w:rPr>
                                <w:rFonts w:hint="eastAsia"/>
                              </w:rPr>
                              <w:t xml:space="preserve">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5" type="#_x0000_t5" style="position:absolute;left:0pt;margin-left:26.05pt;margin-top:2.2pt;height:12pt;width:10.5pt;z-index:251659264;v-text-anchor:middle;mso-width-relative:page;mso-height-relative:page;" fillcolor="#404040" filled="t" stroked="t" coordsize="21600,21600" o:gfxdata="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SFcAdNMAAAAGAQAADwAAAAAAAAABACAAAAAiAAAAZHJzL2Rvd25yZXYueG1sUEsBAhQA&#10;FAAAAAgAh07iQAFEQVmiAgAAPwUAAA4AAAAAAAAAAQAgAAAAIgEAAGRycy9lMm9Eb2MueG1sUEsF&#10;BgAAAAAGAAYAWQEAADYGAAAAAA==&#10;" adj="10800">
                <v:fill on="t" focussize="0,0"/>
                <v:stroke weight="1pt" color="#000000" miterlimit="8" joinstyle="miter"/>
                <v:imagedata o:title=""/>
                <o:lock v:ext="edit" aspectratio="f"/>
                <v:textbox>
                  <w:txbxContent>
                    <w:p>
                      <w:pPr>
                        <w:ind w:firstLine="480"/>
                        <w:jc w:val="center"/>
                      </w:pPr>
                      <w:r>
                        <w:rPr>
                          <w:rFonts w:hint="eastAsia"/>
                        </w:rPr>
                        <w:t xml:space="preserve">   </w:t>
                      </w:r>
                    </w:p>
                  </w:txbxContent>
                </v:textbox>
              </v:shape>
            </w:pict>
          </mc:Fallback>
        </mc:AlternateContent>
      </w:r>
      <w:r>
        <w:rPr>
          <w:rFonts w:hint="eastAsia" w:ascii="仿宋_GB2312" w:hAnsi="仿宋_GB2312" w:eastAsia="仿宋_GB2312" w:cs="仿宋_GB2312"/>
          <w:sz w:val="28"/>
          <w:szCs w:val="28"/>
          <w:lang w:val="en-US" w:eastAsia="zh-CN"/>
        </w:rPr>
        <w:t xml:space="preserve">A.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mc:AlternateContent>
          <mc:Choice Requires="wps">
            <w:drawing>
              <wp:anchor distT="0" distB="0" distL="114300" distR="114300" simplePos="0" relativeHeight="251660288" behindDoc="0" locked="0" layoutInCell="1" allowOverlap="1">
                <wp:simplePos x="0" y="0"/>
                <wp:positionH relativeFrom="column">
                  <wp:posOffset>379730</wp:posOffset>
                </wp:positionH>
                <wp:positionV relativeFrom="paragraph">
                  <wp:posOffset>10160</wp:posOffset>
                </wp:positionV>
                <wp:extent cx="133350" cy="152400"/>
                <wp:effectExtent l="9525" t="15875" r="28575" b="22225"/>
                <wp:wrapNone/>
                <wp:docPr id="5" name="等腰三角形 5"/>
                <wp:cNvGraphicFramePr/>
                <a:graphic xmlns:a="http://schemas.openxmlformats.org/drawingml/2006/main">
                  <a:graphicData uri="http://schemas.microsoft.com/office/word/2010/wordprocessingShape">
                    <wps:wsp>
                      <wps:cNvSpPr/>
                      <wps:spPr>
                        <a:xfrm>
                          <a:off x="0" y="0"/>
                          <a:ext cx="133350" cy="152400"/>
                        </a:xfrm>
                        <a:prstGeom prst="triangle">
                          <a:avLst/>
                        </a:prstGeom>
                        <a:solidFill>
                          <a:srgbClr val="FFFFFF"/>
                        </a:solidFill>
                        <a:ln w="12700" cap="flat" cmpd="sng" algn="ctr">
                          <a:solidFill>
                            <a:srgbClr val="000000"/>
                          </a:solidFill>
                          <a:prstDash val="solid"/>
                          <a:miter lim="800000"/>
                        </a:ln>
                        <a:effectLst/>
                      </wps:spPr>
                      <wps:txbx>
                        <w:txbxContent>
                          <w:p>
                            <w:pPr>
                              <w:ind w:firstLine="480"/>
                              <w:jc w:val="center"/>
                              <w:rPr>
                                <w:color w:val="FFFFFF"/>
                              </w:rPr>
                            </w:pPr>
                            <w:r>
                              <w:rPr>
                                <w:rFonts w:hint="eastAsia"/>
                                <w:color w:val="FFFFFF"/>
                              </w:rPr>
                              <w:t xml:space="preserve">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5" type="#_x0000_t5" style="position:absolute;left:0pt;margin-left:29.9pt;margin-top:0.8pt;height:12pt;width:10.5pt;z-index:251660288;v-text-anchor:middle;mso-width-relative:page;mso-height-relative:page;" fillcolor="#FFFFFF" filled="t" stroked="t" coordsize="21600,21600" o:gfxdata="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bkRT8NUAAAAG&#10;AQAADwAAAAAAAAABACAAAAAiAAAAZHJzL2Rvd25yZXYueG1sUEsBAhQAFAAAAAgAh07iQGajbs2R&#10;AgAAGQUAAA4AAAAAAAAAAQAgAAAAJAEAAGRycy9lMm9Eb2MueG1sUEsFBgAAAAAGAAYAWQEAACcG&#10;AAAAAA==&#10;" adj="10800">
                <v:fill on="t" focussize="0,0"/>
                <v:stroke weight="1pt" color="#000000" miterlimit="8" joinstyle="miter"/>
                <v:imagedata o:title=""/>
                <o:lock v:ext="edit" aspectratio="f"/>
                <v:textbox>
                  <w:txbxContent>
                    <w:p>
                      <w:pPr>
                        <w:ind w:firstLine="480"/>
                        <w:jc w:val="center"/>
                        <w:rPr>
                          <w:color w:val="FFFFFF"/>
                        </w:rPr>
                      </w:pPr>
                      <w:r>
                        <w:rPr>
                          <w:rFonts w:hint="eastAsia"/>
                          <w:color w:val="FFFFFF"/>
                        </w:rPr>
                        <w:t xml:space="preserve">   </w:t>
                      </w:r>
                    </w:p>
                  </w:txbxContent>
                </v:textbox>
              </v:shape>
            </w:pict>
          </mc:Fallback>
        </mc:AlternateContent>
      </w:r>
      <w:r>
        <w:rPr>
          <w:rFonts w:hint="eastAsia" w:ascii="仿宋_GB2312" w:hAnsi="仿宋_GB2312" w:eastAsia="仿宋_GB2312" w:cs="仿宋_GB2312"/>
          <w:sz w:val="28"/>
          <w:szCs w:val="28"/>
          <w:lang w:val="en-US" w:eastAsia="zh-CN"/>
        </w:rPr>
        <w:t xml:space="preserve">B.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mc:AlternateContent>
          <mc:Choice Requires="wps">
            <w:drawing>
              <wp:anchor distT="0" distB="0" distL="114300" distR="114300" simplePos="0" relativeHeight="251661312" behindDoc="0" locked="0" layoutInCell="1" allowOverlap="1">
                <wp:simplePos x="0" y="0"/>
                <wp:positionH relativeFrom="column">
                  <wp:posOffset>361950</wp:posOffset>
                </wp:positionH>
                <wp:positionV relativeFrom="paragraph">
                  <wp:posOffset>22860</wp:posOffset>
                </wp:positionV>
                <wp:extent cx="180975" cy="190500"/>
                <wp:effectExtent l="6350" t="15875" r="22225" b="22225"/>
                <wp:wrapNone/>
                <wp:docPr id="8" name="右箭头 8"/>
                <wp:cNvGraphicFramePr/>
                <a:graphic xmlns:a="http://schemas.openxmlformats.org/drawingml/2006/main">
                  <a:graphicData uri="http://schemas.microsoft.com/office/word/2010/wordprocessingShape">
                    <wps:wsp>
                      <wps:cNvSpPr/>
                      <wps:spPr>
                        <a:xfrm>
                          <a:off x="0" y="0"/>
                          <a:ext cx="180975" cy="190500"/>
                        </a:xfrm>
                        <a:prstGeom prst="rightArrow">
                          <a:avLst/>
                        </a:prstGeom>
                        <a:solidFill>
                          <a:srgbClr val="000000"/>
                        </a:solidFill>
                        <a:ln w="12700" cap="flat" cmpd="sng" algn="ctr">
                          <a:solidFill>
                            <a:srgbClr val="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3" type="#_x0000_t13" style="position:absolute;left:0pt;margin-left:28.5pt;margin-top:1.8pt;height:15pt;width:14.25pt;z-index:251661312;v-text-anchor:middle;mso-width-relative:page;mso-height-relative:page;" fillcolor="#000000" filled="t" stroked="t" coordsize="21600,21600" o:gfxdata="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Igg5XLVAAAABgEAAA8AAAAAAAAAAQAgAAAAIgAAAGRycy9k&#10;b3ducmV2LnhtbFBLAQIUABQAAAAIAIdO4kDCCT2tdwIAAAoFAAAOAAAAAAAAAAEAIAAAACQBAABk&#10;cnMvZTJvRG9jLnhtbFBLBQYAAAAABgAGAFkBAAANBgAAAAA=&#10;" adj="10800,5400">
                <v:fill on="t" focussize="0,0"/>
                <v:stroke weight="1pt" color="#000000" miterlimit="8" joinstyle="miter"/>
                <v:imagedata o:title=""/>
                <o:lock v:ext="edit" aspectratio="f"/>
              </v:shape>
            </w:pict>
          </mc:Fallback>
        </mc:AlternateContent>
      </w:r>
      <w:r>
        <w:rPr>
          <w:rFonts w:hint="eastAsia" w:ascii="仿宋_GB2312" w:hAnsi="仿宋_GB2312" w:eastAsia="仿宋_GB2312" w:cs="仿宋_GB2312"/>
          <w:sz w:val="28"/>
          <w:szCs w:val="28"/>
          <w:lang w:val="en-US" w:eastAsia="zh-CN"/>
        </w:rPr>
        <w:t xml:space="preserve">C.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mc:AlternateContent>
          <mc:Choice Requires="wps">
            <w:drawing>
              <wp:anchor distT="0" distB="0" distL="114300" distR="114300" simplePos="0" relativeHeight="251662336" behindDoc="0" locked="0" layoutInCell="1" allowOverlap="1">
                <wp:simplePos x="0" y="0"/>
                <wp:positionH relativeFrom="column">
                  <wp:posOffset>361950</wp:posOffset>
                </wp:positionH>
                <wp:positionV relativeFrom="paragraph">
                  <wp:posOffset>20955</wp:posOffset>
                </wp:positionV>
                <wp:extent cx="180975" cy="190500"/>
                <wp:effectExtent l="6350" t="15875" r="22225" b="22225"/>
                <wp:wrapNone/>
                <wp:docPr id="15" name="右箭头 15"/>
                <wp:cNvGraphicFramePr/>
                <a:graphic xmlns:a="http://schemas.openxmlformats.org/drawingml/2006/main">
                  <a:graphicData uri="http://schemas.microsoft.com/office/word/2010/wordprocessingShape">
                    <wps:wsp>
                      <wps:cNvSpPr/>
                      <wps:spPr>
                        <a:xfrm>
                          <a:off x="0" y="0"/>
                          <a:ext cx="180975" cy="190500"/>
                        </a:xfrm>
                        <a:prstGeom prst="rightArrow">
                          <a:avLst/>
                        </a:prstGeom>
                        <a:solidFill>
                          <a:srgbClr val="FFFFFF"/>
                        </a:solidFill>
                        <a:ln w="12700" cap="flat" cmpd="sng" algn="ctr">
                          <a:solidFill>
                            <a:srgbClr val="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3" type="#_x0000_t13" style="position:absolute;left:0pt;margin-left:28.5pt;margin-top:1.65pt;height:15pt;width:14.25pt;z-index:251662336;v-text-anchor:middle;mso-width-relative:page;mso-height-relative:page;" fillcolor="#FFFFFF" filled="t" stroked="t" coordsize="21600,21600" o:gfxdata="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AuHlCv1QAAAAYBAAAPAAAAAAAAAAEAIAAAACIA&#10;AABkcnMvZG93bnJldi54bWxQSwECFAAUAAAACACHTuJA+qjGdH4CAAAMBQAADgAAAAAAAAABACAA&#10;AAAkAQAAZHJzL2Uyb0RvYy54bWxQSwUGAAAAAAYABgBZAQAAFAYAAAAA&#10;" adj="10800,5400">
                <v:fill on="t" focussize="0,0"/>
                <v:stroke weight="1pt" color="#000000" miterlimit="8" joinstyle="miter"/>
                <v:imagedata o:title=""/>
                <o:lock v:ext="edit" aspectratio="f"/>
              </v:shape>
            </w:pict>
          </mc:Fallback>
        </mc:AlternateContent>
      </w:r>
      <w:r>
        <w:rPr>
          <w:rFonts w:hint="eastAsia" w:ascii="仿宋_GB2312" w:hAnsi="仿宋_GB2312" w:eastAsia="仿宋_GB2312" w:cs="仿宋_GB2312"/>
          <w:sz w:val="28"/>
          <w:szCs w:val="28"/>
          <w:lang w:val="en-US" w:eastAsia="zh-CN"/>
        </w:rPr>
        <w:t>D.</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28.预制外墙的代号为（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A.WQ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B.WQCA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C.YWQ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D.YNQ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29. 编号为NQM1-3028-0921的内墙板，其含义为（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A.预制内墙板类型为固定门垛内墙，层高3000mm，标志宽度2800mm，门宽900mm，门高2100mm。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B.预制内墙板类型为固定门垛内墙，标志宽度3000mm，层高2800mm，门宽900mm，门高2100mm。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C.预制内墙板类型为固定门垛内墙，标志宽度3000mm，层高2800mm，门高900mm，门宽2100mm。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D.预制内墙板类型为中间门洞内墙，标志宽度3000mm，层高2800mm，门宽900mm，门高2100mm。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30.图为预制叠合板正视和底视图，图中用红框内什么（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drawing>
          <wp:inline distT="0" distB="0" distL="114300" distR="114300">
            <wp:extent cx="2094230" cy="1865630"/>
            <wp:effectExtent l="0" t="0" r="1270" b="1270"/>
            <wp:docPr id="13" name="图片 4" descr="C:\Users\ADMINI~1\AppData\Local\Temp\ksohtml13892\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descr="C:\Users\ADMINI~1\AppData\Local\Temp\ksohtml13892\wps2.jpg"/>
                    <pic:cNvPicPr>
                      <a:picLocks noChangeAspect="1"/>
                    </pic:cNvPicPr>
                  </pic:nvPicPr>
                  <pic:blipFill>
                    <a:blip r:embed="rId7"/>
                    <a:stretch>
                      <a:fillRect/>
                    </a:stretch>
                  </pic:blipFill>
                  <pic:spPr>
                    <a:xfrm>
                      <a:off x="0" y="0"/>
                      <a:ext cx="2094230" cy="1865630"/>
                    </a:xfrm>
                    <a:prstGeom prst="rect">
                      <a:avLst/>
                    </a:prstGeom>
                    <a:noFill/>
                    <a:ln>
                      <a:noFill/>
                    </a:ln>
                  </pic:spPr>
                </pic:pic>
              </a:graphicData>
            </a:graphic>
          </wp:inline>
        </w:drawing>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A、叠合板装饰线条   B、叠合板桁架筋</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C、叠合板中线管     D、叠合板吊点</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31.剪力墙平面布置图中，预制构件的内表面用符号（ ）表示。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w:t>
      </w:r>
      <w:r>
        <w:rPr>
          <w:rFonts w:hint="eastAsia" w:ascii="仿宋_GB2312" w:hAnsi="仿宋_GB2312" w:eastAsia="仿宋_GB2312" w:cs="仿宋_GB2312"/>
          <w:sz w:val="28"/>
          <w:szCs w:val="28"/>
          <w:lang w:val="en-US" w:eastAsia="zh-CN"/>
        </w:rPr>
        <w:drawing>
          <wp:inline distT="0" distB="0" distL="114300" distR="114300">
            <wp:extent cx="165100" cy="152400"/>
            <wp:effectExtent l="0" t="0" r="635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8"/>
                    <a:stretch>
                      <a:fillRect/>
                    </a:stretch>
                  </pic:blipFill>
                  <pic:spPr>
                    <a:xfrm>
                      <a:off x="0" y="0"/>
                      <a:ext cx="165100" cy="152400"/>
                    </a:xfrm>
                    <a:prstGeom prst="rect">
                      <a:avLst/>
                    </a:prstGeom>
                    <a:noFill/>
                    <a:ln>
                      <a:noFill/>
                    </a:ln>
                  </pic:spPr>
                </pic:pic>
              </a:graphicData>
            </a:graphic>
          </wp:inline>
        </w:drawing>
      </w:r>
      <w:r>
        <w:rPr>
          <w:rFonts w:hint="eastAsia" w:ascii="仿宋_GB2312" w:hAnsi="仿宋_GB2312" w:eastAsia="仿宋_GB2312" w:cs="仿宋_GB2312"/>
          <w:sz w:val="28"/>
          <w:szCs w:val="28"/>
          <w:lang w:val="en-US" w:eastAsia="zh-CN"/>
        </w:rPr>
        <w:t xml:space="preserve">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B.WS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C.NS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D.MJ1</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32.编号为ST-28-25的楼梯，其含义为（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A.预制混凝土板式双跑楼梯，建筑层高2800mm、楼梯间净宽2500mm。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B.预制混凝土板式单跑楼梯，建筑层高2800mm、楼梯间净宽2500mm。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C.预制混凝土板式双跑楼梯，建筑层高2500mm、楼梯间净宽2800mm。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D.预制混凝土板式剪刀楼梯，建筑层高2800mm、楼梯间净宽2500mm。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33.根据标准图集《预制混凝土剪力墙外墙板》（15G365-1）中夹心墙板模板图中的主视图，可知墙板的相关尺寸，其中错误的是（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A.墙板长度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B.墙板高度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C.窗孔的长和高度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D.墙板厚度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34. 窗框口模具安装时其中长度、宽度的允许偏差是（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A.0，-4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B.0，-3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C.0，-2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D.0，-2.5</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35.叠合楼板模具当选用角钢作为边模时，侧模上需设加强肋板，其间距长度为（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A.200～400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B.300～500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C.400～500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D.400～600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36. 外墙板一般采用三明治结构，即（ ）+保温层+保护层。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A.加厚层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B.结构层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C.防潮层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D.隔离层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37. 钢筋连接灌浆套筒是通过（ ）的传力作用将钢筋对接连接所用的金属套筒。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 水泥基灌浆料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 石灰灌浆料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 石膏灌浆料</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D. 混凝土灌浆料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38. 热轧钢筋作力学性能检验的抽样方法以同规格、同炉罐（批）号的不多于（ ）的钢筋为一批。</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 xml:space="preserve">50t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B.70t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C.60t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D.80t</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39.预制构件生产前，应建立（ ）制度，构件验收合格后，方可批量生产。</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A.标准化</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B.首件验收</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C.流程管理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D.工序交接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40.机械连接的连接区段长度是以套筒为中心长度的（ ）范围，在同一连接区段内的纵向受拉钢筋接头面积百分率不宜大于50%，但对板、墙、柱及预制构件拼接处，可适当放宽。纵向受压钢筋的接头百分率可不受限制。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A.25d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B.35d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C.30d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D.40d</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41.楼梯钢筋绑扎过程中，应注意（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A.受力钢筋在上，分布钢筋在下；</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B.受力钢筋在下，分布钢筋在上；</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C.钢筋没有上下之分；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D.以上说法均不对。</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42.为保证套筒灌浆腔对灌浆料的锚固能力，腔内设置的剪力槽两侧凸台轴向厚度不应小于（ ）mm。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A.1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B.2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C.3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D.4</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43.预制板厚度由于脱模、吊装、运输、施工等因素，最小厚度不宜小于( )mm。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A.50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B.60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C.70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D.80</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44.外挂墙板与主体结构连接节点应具有足够的（ ）和适应主体结构变形的能力，并应采取可靠的防腐、防锈和防火措施。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A.柔性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B.刚性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C.承载力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D.以上说法都不对</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45．预制墙体保温材料应与底层混凝土固定，当多层敷设时上下层接缝应（ ）。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A.错开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B.平行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C.重叠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D.隔开</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46.以下两张图分别为何种灌浆套筒连接方式（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drawing>
          <wp:inline distT="0" distB="0" distL="114300" distR="114300">
            <wp:extent cx="1940560" cy="681355"/>
            <wp:effectExtent l="0" t="0" r="2540" b="444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9"/>
                    <a:stretch>
                      <a:fillRect/>
                    </a:stretch>
                  </pic:blipFill>
                  <pic:spPr>
                    <a:xfrm>
                      <a:off x="0" y="0"/>
                      <a:ext cx="1940560" cy="681355"/>
                    </a:xfrm>
                    <a:prstGeom prst="rect">
                      <a:avLst/>
                    </a:prstGeom>
                    <a:noFill/>
                    <a:ln>
                      <a:noFill/>
                    </a:ln>
                  </pic:spPr>
                </pic:pic>
              </a:graphicData>
            </a:graphic>
          </wp:inline>
        </w:drawing>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drawing>
          <wp:inline distT="0" distB="0" distL="114300" distR="114300">
            <wp:extent cx="1947545" cy="804545"/>
            <wp:effectExtent l="0" t="0" r="14605" b="14605"/>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7"/>
                    <pic:cNvPicPr>
                      <a:picLocks noChangeAspect="1"/>
                    </pic:cNvPicPr>
                  </pic:nvPicPr>
                  <pic:blipFill>
                    <a:blip r:embed="rId10"/>
                    <a:stretch>
                      <a:fillRect/>
                    </a:stretch>
                  </pic:blipFill>
                  <pic:spPr>
                    <a:xfrm>
                      <a:off x="0" y="0"/>
                      <a:ext cx="1947545" cy="804545"/>
                    </a:xfrm>
                    <a:prstGeom prst="rect">
                      <a:avLst/>
                    </a:prstGeom>
                    <a:noFill/>
                    <a:ln>
                      <a:noFill/>
                    </a:ln>
                  </pic:spPr>
                </pic:pic>
              </a:graphicData>
            </a:graphic>
          </wp:inline>
        </w:drawing>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A.上图为直螺纹套筒，下图为全灌浆套筒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B.上图为半灌浆套筒，下图为全灌浆套筒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C.上图为全灌浆套筒，下图为半灌浆套筒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D.上图为半灌浆套筒，下图为钢筋连接套筒</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47. 预制墙板混凝土当采用垂直浇筑成型工艺时，保温材料可在混凝土（ ）放置固定。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A.浇筑前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B.浇筑中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C.浇筑后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D.浇筑后静止一段时间</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48.应定期定时对混凝土进行各项工作性能试验；按（ ）留置试块。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A.面积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B.楼层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C.班次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D.单位工程</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49. 混凝土预制构件覆膜保湿的自然养护是在自然环境下进行养护，保持混凝土表面湿润，养护时间不少于（ ）天。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A.5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B.6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C.7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D.8</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50.吊装时吊索的直径和长度要根据（ ）确定。</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A.费用多少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B.吊装构件重量和吊装构件的吊点位置</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C.吊装构件重量</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D.构件的体积</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二、多项选择题（共15题，每题2分，计30分。其中5个备选项中包含2个及以上正确答案，错选、多选、漏选均不得分）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b/>
          <w:bCs/>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1.《装配式混凝土结构技术规程》JGJ 1-2014规定，当采用靠放架堆放或运输墙板时，靠放架应具有足够的（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A.承载力</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B.警示色</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C.刚度</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D.以上说法都对</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2.《装配式混凝土建筑技术标准》GB/T 51231等标准文件规定，预制构件起吊时应采用（ ）的操作方式，保持稳定。</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A.慢起</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B.缓升</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C.稳放</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D.匀速快行</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E.快速</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3.为贯彻ISO14000环境管理体系，项目部应制定的《建筑工程施工环境管理计划》，其中属于环境保护内容的是(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A.噪声控制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 固体废弃物控制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C.污水控制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D.易燃易爆物控制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E.土地保护</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4.《装配式混凝土建筑技术标准》GB/T 51231规定，吊装大型构件、薄壁构件或形状复杂的构件时，应使用（ ）等吊具。</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A溜绳</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B.吊篮</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 xml:space="preserve">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C.分配梁</w:t>
      </w:r>
      <w:r>
        <w:rPr>
          <w:rFonts w:hint="eastAsia" w:ascii="仿宋_GB2312" w:hAnsi="仿宋_GB2312" w:eastAsia="仿宋_GB2312" w:cs="仿宋_GB2312"/>
          <w:sz w:val="28"/>
          <w:szCs w:val="28"/>
          <w:lang w:val="en-US" w:eastAsia="zh-CN"/>
        </w:rPr>
        <w:tab/>
      </w:r>
      <w:r>
        <w:rPr>
          <w:rFonts w:hint="eastAsia" w:ascii="仿宋_GB2312" w:hAnsi="仿宋_GB2312" w:eastAsia="仿宋_GB2312" w:cs="仿宋_GB2312"/>
          <w:sz w:val="28"/>
          <w:szCs w:val="28"/>
          <w:lang w:val="en-US" w:eastAsia="zh-CN"/>
        </w:rPr>
        <w:tab/>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D.分配桁架</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E.龙门架</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5.装配整体式混凝土结构建筑全过程，应搭建BIM协同平台，除了协调各专业协同工作以外应保证（ ）等在平台上协同工作。</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A.设计</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B.生产</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C.施工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D.装修</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E.采购</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6.预制构件有哪些属于图集中常见构件（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A.预制外墙板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B.预制叠合板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C.预制楼阳台板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D.预制空调板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E.特型门窗</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7.构件的生产工序主要包括(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A.钢筋加工</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B.模板组装</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C.混凝土浇筑</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D.蒸汽养护</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E.运维</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8.配制混凝土时，水胶比是由( )决定。</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A．胶凝材料实测强度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B．混凝土强度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C．耐久性</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D．拌和物的坍落度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E．粗骨料品种</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9. 下列预制钢筋混凝土板式楼梯的编号表述正确的是（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A.ST-28-25表示预制混凝土板式双跑楼梯，建筑层高2800mm、楼梯间净宽2500mm。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B.JT-28-25表示预制混凝土板式剪刀楼梯，建筑层高2800mm、楼梯间净宽2500mm。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C.ST-29-24表示预制混凝土板式双跑楼梯，建筑层高2900mm、楼梯间净宽2400mm。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D.ST-30-25表示预制混凝土板式剪刀楼梯，建筑层高3000mm、楼梯间净宽2500mm。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E.JT-29-26表示预制混凝土板式双跑楼梯，建筑层高2900mm、楼梯间净宽2600mm。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10. 模具组装前，模板接触面（ ）等应满足相关设计要求。</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A.平整度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B.板面弯曲</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C.拼装缝隙</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D.清洁度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E.几何尺寸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11. 热轧钢筋作力学性能检验的抽样方法正确的是（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A.以同规格、同炉罐（批）号的不多于60t的钢筋为一批；</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B.从每批中任选两根钢筋；</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C.每根钢筋取四个试件；</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D.做拉力试验；</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E.冷弯试验</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12.以下套筒材料验收正确的做法有（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A.资质检验：套筒生产厂家出具套筒出厂合格证，材质证明书，型式检验报告等；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B.检查套筒外观以及尺寸；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C.同一批号、同一类型、同一规格的灌浆套筒，不超过1000个为一批；</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D.每批随机抽取15个灌浆套筒；</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E.抗拉强度检验：每1000个同批灌浆套筒抽取3个，采用与施工相同的灌浆料，模拟施工条件，制作接头抗拉试件。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13. 接头工艺检验应符合下列规定(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A.灌浆套筒埋入预制构件时，工艺检验应在预制构件生产前进行；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B.当现场灌浆施工单位与工艺检验时的灌浆单位不同，灌浆前应再次进行工艺检验。</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C.工艺检验不需要模拟施工条件制作接头试件。</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D.每种规格钢筋应制作6个对中套筒灌浆连接接头，并应检查灌浆质量；</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E.采用灌浆料拌合物制作的40mm×40mm×160mm试件不应少于1组。接头试件及灌浆料试件应在标准养护条件下养护28天。</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14. 预制混凝土楼面板按照制造工艺不同可分为(  )。</w:t>
      </w:r>
    </w:p>
    <w:p>
      <w:pPr>
        <w:pStyle w:val="23"/>
        <w:numPr>
          <w:ilvl w:val="0"/>
          <w:numId w:val="0"/>
        </w:numPr>
        <w:tabs>
          <w:tab w:val="left" w:pos="315"/>
          <w:tab w:val="left" w:pos="4200"/>
          <w:tab w:val="left" w:pos="6090"/>
        </w:tabs>
        <w:snapToGrid w:val="0"/>
        <w:spacing w:line="24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A.预制混凝土叠合板 </w:t>
      </w:r>
    </w:p>
    <w:p>
      <w:pPr>
        <w:pStyle w:val="23"/>
        <w:numPr>
          <w:ilvl w:val="0"/>
          <w:numId w:val="0"/>
        </w:numPr>
        <w:tabs>
          <w:tab w:val="left" w:pos="315"/>
          <w:tab w:val="left" w:pos="4200"/>
          <w:tab w:val="left" w:pos="6090"/>
        </w:tabs>
        <w:snapToGrid w:val="0"/>
        <w:spacing w:line="24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B.预制混凝土实心板</w:t>
      </w:r>
    </w:p>
    <w:p>
      <w:pPr>
        <w:pStyle w:val="23"/>
        <w:numPr>
          <w:ilvl w:val="0"/>
          <w:numId w:val="0"/>
        </w:numPr>
        <w:tabs>
          <w:tab w:val="left" w:pos="315"/>
          <w:tab w:val="left" w:pos="4200"/>
          <w:tab w:val="left" w:pos="6090"/>
        </w:tabs>
        <w:snapToGrid w:val="0"/>
        <w:spacing w:line="24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C.预制混凝土空心板</w:t>
      </w:r>
    </w:p>
    <w:p>
      <w:pPr>
        <w:pStyle w:val="23"/>
        <w:numPr>
          <w:ilvl w:val="0"/>
          <w:numId w:val="0"/>
        </w:numPr>
        <w:tabs>
          <w:tab w:val="left" w:pos="315"/>
          <w:tab w:val="left" w:pos="4200"/>
          <w:tab w:val="left" w:pos="6090"/>
        </w:tabs>
        <w:snapToGrid w:val="0"/>
        <w:spacing w:line="24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D.预制混凝土夹芯板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E.预制混凝土双T板</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15. 为保证钢筋安装在套筒内的长度在其允许偏差范围内（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A.套筒内钢筋长度最短不小于接头型式检验确定的锚固长度；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B.套筒内钢筋长度最长不大于套筒灌浆腔最大深度；</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C.灌浆套筒中间轴向定位点两侧应预留钢筋安装调整长度，预制端不应小于10mm；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D.灌浆套筒中间轴向定位点两侧应预留钢筋安装调整长度，现场装配端小于20mm；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E.灌浆套筒中间轴向定位点两侧应预留钢筋安装调整长度，预制端不应小于20mm。</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三、判断题（共20题，每题1分，计20分）</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1.装配式建筑是由预制混凝土构件通过可靠的连接方式装配而成的混凝土结构，包括装配式混凝土结构和全装配混凝土结构等。（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2.PK叠合板负弯矩筋和分布钢筋的布置原则是：顺肋方向钢筋配置在上面，垂肋方向钢筋配置在下面。（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3.PK预应力混凝土叠合板的预制底板3cm厚，是国际上最薄、最轻的叠合板之一。（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4.预制梁侧面应设键槽，可不设粗糙面。（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5.预制构件竖向受力钢筋的链接，宜优先采用套筒灌浆连接接头（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6.装配整体式结构的预制梁、预制柱及预制剪力墙断面处不是必须设置抗剪键槽。（  ）</w:t>
      </w:r>
    </w:p>
    <w:p>
      <w:pPr>
        <w:pStyle w:val="23"/>
        <w:numPr>
          <w:ilvl w:val="0"/>
          <w:numId w:val="0"/>
        </w:numPr>
        <w:tabs>
          <w:tab w:val="left" w:pos="315"/>
          <w:tab w:val="left" w:pos="4200"/>
          <w:tab w:val="left" w:pos="6090"/>
        </w:tabs>
        <w:snapToGrid w:val="0"/>
        <w:spacing w:line="36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7.转换柱、转换梁及周边楼盖结构宜采用现浇。（  ）</w:t>
      </w:r>
    </w:p>
    <w:p>
      <w:pPr>
        <w:pStyle w:val="23"/>
        <w:numPr>
          <w:ilvl w:val="0"/>
          <w:numId w:val="0"/>
        </w:numPr>
        <w:tabs>
          <w:tab w:val="left" w:pos="315"/>
          <w:tab w:val="left" w:pos="4200"/>
          <w:tab w:val="left" w:pos="6090"/>
        </w:tabs>
        <w:snapToGrid w:val="0"/>
        <w:spacing w:line="36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8.预制构件脱模吊装验算时，动力系数可依据受力情况和安全情况适当增减。（  ）</w:t>
      </w:r>
    </w:p>
    <w:p>
      <w:pPr>
        <w:pStyle w:val="23"/>
        <w:numPr>
          <w:ilvl w:val="0"/>
          <w:numId w:val="0"/>
        </w:numPr>
        <w:tabs>
          <w:tab w:val="left" w:pos="315"/>
          <w:tab w:val="left" w:pos="4200"/>
          <w:tab w:val="left" w:pos="6090"/>
        </w:tabs>
        <w:snapToGrid w:val="0"/>
        <w:spacing w:line="36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9.竖向构件安装就位后，可通过临时支撑对构件的位置和标高进行微调。（  ）</w:t>
      </w:r>
    </w:p>
    <w:p>
      <w:pPr>
        <w:pStyle w:val="23"/>
        <w:numPr>
          <w:ilvl w:val="0"/>
          <w:numId w:val="0"/>
        </w:numPr>
        <w:tabs>
          <w:tab w:val="left" w:pos="315"/>
          <w:tab w:val="left" w:pos="4200"/>
          <w:tab w:val="left" w:pos="6090"/>
        </w:tabs>
        <w:snapToGrid w:val="0"/>
        <w:spacing w:line="36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10.水平角观测的方法有测回法、方向观测法和全圆观测法三种形式。（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11.起重机的三项主要参数是起重量、起重机臂长和起重高度。（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12.散落在地上的灌浆料拌合物可以及时收集起来，再次拌和二次使用。（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13.钢筋套筒灌浆连接的基本原理，是在金属套筒中插入单根带肋钢筋并注入灌浆料拌合物，通过拌合物硬化形成整体并实现传力的钢筋连接的方式。（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14.吊运预制构件时，构件下方严禁站人，应待预制构件降落至距地面1m 以内方准作业人员靠近，就位固定后方可脱钩。（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15.吊装预制梁时，吊绳与梁的夹角宜采用10°～30°。（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16.吊装作业时，高空应通过缆风绳改变预制构件方向，严禁高空直接用手扶预制构件。（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17.预制构件生产的质量检验应按模具、钢筋、混凝土、预应力、预制构件等检验进行。（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18.模具组装应连接牢固，接缝应紧密，附带的埋件或工装应定位准确，安装牢固。（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19.屋面以及立面收进的楼层，应在预制剪力墙顶部设置封闭的后浇钢筋混凝土圈梁。（  ）</w:t>
      </w:r>
    </w:p>
    <w:p>
      <w:pPr>
        <w:pStyle w:val="23"/>
        <w:numPr>
          <w:ilvl w:val="0"/>
          <w:numId w:val="0"/>
        </w:numPr>
        <w:tabs>
          <w:tab w:val="left" w:pos="315"/>
          <w:tab w:val="left" w:pos="4200"/>
          <w:tab w:val="left" w:pos="6090"/>
        </w:tabs>
        <w:snapToGrid w:val="0"/>
        <w:spacing w:line="300" w:lineRule="auto"/>
        <w:ind w:leftChars="0"/>
        <w:rPr>
          <w:rFonts w:hint="eastAsia" w:ascii="仿宋_GB2312" w:hAnsi="仿宋_GB2312" w:eastAsia="仿宋_GB2312" w:cs="仿宋_GB2312"/>
          <w:b/>
          <w:sz w:val="30"/>
          <w:szCs w:val="30"/>
          <w:lang w:val="en-US" w:eastAsia="zh-CN"/>
        </w:rPr>
      </w:pPr>
      <w:r>
        <w:rPr>
          <w:rFonts w:hint="eastAsia" w:ascii="仿宋_GB2312" w:hAnsi="仿宋_GB2312" w:eastAsia="仿宋_GB2312" w:cs="仿宋_GB2312"/>
          <w:sz w:val="28"/>
          <w:szCs w:val="28"/>
          <w:lang w:val="en-US" w:eastAsia="zh-CN"/>
        </w:rPr>
        <w:t>20.预制剪力墙相邻下层为现浇剪力墙时，下层现浇剪力墙顶面应设置粗糙面。（）</w:t>
      </w: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202</w:t>
      </w:r>
      <w:r>
        <w:rPr>
          <w:rFonts w:hint="eastAsia" w:ascii="仿宋_GB2312" w:hAnsi="仿宋_GB2312" w:eastAsia="仿宋_GB2312" w:cs="仿宋_GB2312"/>
          <w:b/>
          <w:sz w:val="30"/>
          <w:szCs w:val="30"/>
          <w:lang w:val="en-US" w:eastAsia="zh-CN"/>
        </w:rPr>
        <w:t>3</w:t>
      </w:r>
      <w:r>
        <w:rPr>
          <w:rFonts w:hint="eastAsia" w:ascii="仿宋_GB2312" w:hAnsi="仿宋_GB2312" w:eastAsia="仿宋_GB2312" w:cs="仿宋_GB2312"/>
          <w:b/>
          <w:sz w:val="30"/>
          <w:szCs w:val="30"/>
        </w:rPr>
        <w:t>全国职业院校技能大赛中职组装配式建筑构</w:t>
      </w:r>
      <w:r>
        <w:rPr>
          <w:rFonts w:hint="eastAsia" w:ascii="仿宋_GB2312" w:hAnsi="仿宋_GB2312" w:eastAsia="仿宋_GB2312" w:cs="仿宋_GB2312"/>
          <w:b/>
          <w:sz w:val="30"/>
          <w:szCs w:val="30"/>
          <w:lang w:val="en-US" w:eastAsia="zh-CN"/>
        </w:rPr>
        <w:t>件安装</w:t>
      </w:r>
      <w:r>
        <w:rPr>
          <w:rFonts w:hint="eastAsia" w:ascii="仿宋_GB2312" w:hAnsi="仿宋_GB2312" w:eastAsia="仿宋_GB2312" w:cs="仿宋_GB2312"/>
          <w:b/>
          <w:sz w:val="30"/>
          <w:szCs w:val="30"/>
        </w:rPr>
        <w:t>赛项</w:t>
      </w:r>
    </w:p>
    <w:p>
      <w:pPr>
        <w:pStyle w:val="14"/>
        <w:jc w:val="center"/>
        <w:rPr>
          <w:rFonts w:hint="eastAsia" w:ascii="仿宋_GB2312" w:hAnsi="仿宋_GB2312" w:eastAsia="仿宋_GB2312" w:cs="仿宋_GB2312"/>
          <w:b/>
          <w:kern w:val="0"/>
          <w:sz w:val="30"/>
          <w:szCs w:val="30"/>
        </w:rPr>
      </w:pPr>
      <w:r>
        <w:rPr>
          <w:rFonts w:hint="eastAsia" w:ascii="仿宋_GB2312" w:hAnsi="仿宋_GB2312" w:eastAsia="仿宋_GB2312" w:cs="仿宋_GB2312"/>
          <w:b/>
          <w:sz w:val="30"/>
          <w:szCs w:val="30"/>
          <w:lang w:val="en-US" w:eastAsia="zh-CN"/>
        </w:rPr>
        <w:t>模块二任务一吊</w:t>
      </w:r>
      <w:r>
        <w:rPr>
          <w:rFonts w:hint="eastAsia" w:ascii="仿宋_GB2312" w:hAnsi="仿宋_GB2312" w:eastAsia="仿宋_GB2312" w:cs="仿宋_GB2312"/>
          <w:b/>
          <w:sz w:val="30"/>
          <w:szCs w:val="30"/>
        </w:rPr>
        <w:t>装</w:t>
      </w:r>
      <w:r>
        <w:rPr>
          <w:rFonts w:hint="eastAsia" w:ascii="仿宋_GB2312" w:hAnsi="仿宋_GB2312" w:eastAsia="仿宋_GB2312" w:cs="仿宋_GB2312"/>
          <w:b/>
          <w:kern w:val="0"/>
          <w:sz w:val="30"/>
          <w:szCs w:val="30"/>
        </w:rPr>
        <w:t>环节任务书</w:t>
      </w:r>
    </w:p>
    <w:p>
      <w:pPr>
        <w:pStyle w:val="14"/>
        <w:jc w:val="right"/>
        <w:rPr>
          <w:rFonts w:hint="eastAsia" w:ascii="仿宋_GB2312" w:hAnsi="仿宋_GB2312" w:eastAsia="仿宋_GB2312" w:cs="仿宋_GB2312"/>
          <w:kern w:val="0"/>
          <w:szCs w:val="28"/>
        </w:rPr>
      </w:pPr>
      <w:r>
        <w:rPr>
          <w:rFonts w:hint="eastAsia" w:ascii="仿宋_GB2312" w:hAnsi="仿宋_GB2312" w:eastAsia="仿宋_GB2312" w:cs="仿宋_GB2312"/>
          <w:kern w:val="0"/>
          <w:szCs w:val="28"/>
        </w:rPr>
        <w:t>工位号：____________</w:t>
      </w:r>
    </w:p>
    <w:p>
      <w:pPr>
        <w:pStyle w:val="14"/>
        <w:ind w:firstLine="562" w:firstLineChars="200"/>
        <w:rPr>
          <w:rFonts w:hint="eastAsia" w:ascii="仿宋_GB2312" w:hAnsi="仿宋_GB2312" w:eastAsia="仿宋_GB2312" w:cs="仿宋_GB2312"/>
          <w:b/>
          <w:szCs w:val="28"/>
        </w:rPr>
      </w:pPr>
      <w:r>
        <w:rPr>
          <w:rFonts w:hint="eastAsia" w:ascii="仿宋_GB2312" w:hAnsi="仿宋_GB2312" w:eastAsia="仿宋_GB2312" w:cs="仿宋_GB2312"/>
          <w:b/>
          <w:szCs w:val="28"/>
        </w:rPr>
        <w:t>一、竞赛须知</w:t>
      </w:r>
    </w:p>
    <w:p>
      <w:pPr>
        <w:pStyle w:val="14"/>
        <w:ind w:firstLine="560" w:firstLineChars="200"/>
        <w:rPr>
          <w:rFonts w:hint="eastAsia" w:ascii="仿宋_GB2312" w:hAnsi="仿宋_GB2312" w:eastAsia="仿宋_GB2312" w:cs="仿宋_GB2312"/>
          <w:szCs w:val="28"/>
          <w:lang w:val="en-US" w:eastAsia="zh-CN"/>
        </w:rPr>
      </w:pPr>
      <w:r>
        <w:rPr>
          <w:rFonts w:hint="eastAsia" w:ascii="仿宋_GB2312" w:hAnsi="仿宋_GB2312" w:eastAsia="仿宋_GB2312" w:cs="仿宋_GB2312"/>
          <w:szCs w:val="28"/>
        </w:rPr>
        <w:t>1、本竞赛环节为</w:t>
      </w:r>
      <w:r>
        <w:rPr>
          <w:rFonts w:hint="eastAsia" w:ascii="仿宋_GB2312" w:hAnsi="仿宋_GB2312" w:eastAsia="仿宋_GB2312" w:cs="仿宋_GB2312"/>
          <w:szCs w:val="28"/>
          <w:lang w:val="en-US" w:eastAsia="zh-CN"/>
        </w:rPr>
        <w:t>师生3</w:t>
      </w:r>
      <w:r>
        <w:rPr>
          <w:rFonts w:hint="eastAsia" w:ascii="仿宋_GB2312" w:hAnsi="仿宋_GB2312" w:eastAsia="仿宋_GB2312" w:cs="仿宋_GB2312"/>
          <w:szCs w:val="28"/>
        </w:rPr>
        <w:t>人</w:t>
      </w:r>
      <w:r>
        <w:rPr>
          <w:rFonts w:hint="eastAsia" w:ascii="仿宋_GB2312" w:hAnsi="仿宋_GB2312" w:eastAsia="仿宋_GB2312" w:cs="仿宋_GB2312"/>
          <w:szCs w:val="28"/>
          <w:lang w:eastAsia="zh-CN"/>
        </w:rPr>
        <w:t>（</w:t>
      </w:r>
      <w:r>
        <w:rPr>
          <w:rFonts w:hint="eastAsia" w:ascii="仿宋_GB2312" w:hAnsi="仿宋_GB2312" w:eastAsia="仿宋_GB2312" w:cs="仿宋_GB2312"/>
          <w:szCs w:val="28"/>
          <w:lang w:val="en-US" w:eastAsia="zh-CN"/>
        </w:rPr>
        <w:t>1个老师2个学生）</w:t>
      </w:r>
      <w:r>
        <w:rPr>
          <w:rFonts w:hint="eastAsia" w:ascii="仿宋_GB2312" w:hAnsi="仿宋_GB2312" w:eastAsia="仿宋_GB2312" w:cs="仿宋_GB2312"/>
          <w:szCs w:val="28"/>
        </w:rPr>
        <w:t>合作竞技项目，</w:t>
      </w:r>
      <w:r>
        <w:rPr>
          <w:rFonts w:hint="eastAsia" w:ascii="仿宋_GB2312" w:hAnsi="仿宋_GB2312" w:eastAsia="仿宋_GB2312" w:cs="仿宋_GB2312"/>
          <w:szCs w:val="28"/>
          <w:lang w:val="en-US" w:eastAsia="zh-CN"/>
        </w:rPr>
        <w:t>师生3</w:t>
      </w:r>
      <w:r>
        <w:rPr>
          <w:rFonts w:hint="eastAsia" w:ascii="仿宋_GB2312" w:hAnsi="仿宋_GB2312" w:eastAsia="仿宋_GB2312" w:cs="仿宋_GB2312"/>
          <w:szCs w:val="28"/>
        </w:rPr>
        <w:t xml:space="preserve">人合作完成 </w:t>
      </w:r>
      <w:r>
        <w:rPr>
          <w:rFonts w:hint="eastAsia" w:ascii="仿宋_GB2312" w:hAnsi="仿宋_GB2312" w:eastAsia="仿宋_GB2312" w:cs="仿宋_GB2312"/>
          <w:szCs w:val="28"/>
          <w:lang w:val="en-US" w:eastAsia="zh-CN"/>
        </w:rPr>
        <w:t>“建筑装配式构件吊装”，分值为</w:t>
      </w:r>
      <w:r>
        <w:rPr>
          <w:rFonts w:hint="eastAsia" w:ascii="仿宋_GB2312" w:hAnsi="仿宋_GB2312" w:eastAsia="仿宋_GB2312" w:cs="仿宋_GB2312"/>
          <w:szCs w:val="28"/>
        </w:rPr>
        <w:t>100分</w:t>
      </w:r>
      <w:r>
        <w:rPr>
          <w:rFonts w:hint="eastAsia" w:ascii="仿宋_GB2312" w:hAnsi="仿宋_GB2312" w:eastAsia="仿宋_GB2312" w:cs="仿宋_GB2312"/>
          <w:szCs w:val="28"/>
          <w:lang w:eastAsia="zh-CN"/>
        </w:rPr>
        <w:t>。</w:t>
      </w:r>
      <w:r>
        <w:rPr>
          <w:rFonts w:hint="eastAsia" w:ascii="仿宋_GB2312" w:hAnsi="仿宋_GB2312" w:eastAsia="仿宋_GB2312" w:cs="仿宋_GB2312"/>
          <w:szCs w:val="28"/>
          <w:lang w:val="en-US" w:eastAsia="zh-CN"/>
        </w:rPr>
        <w:t>该</w:t>
      </w:r>
      <w:r>
        <w:rPr>
          <w:rFonts w:hint="eastAsia" w:ascii="仿宋_GB2312" w:hAnsi="仿宋_GB2312" w:eastAsia="仿宋_GB2312" w:cs="仿宋_GB2312"/>
          <w:szCs w:val="28"/>
        </w:rPr>
        <w:t>环节加权系数</w:t>
      </w:r>
      <w:r>
        <w:rPr>
          <w:rFonts w:hint="eastAsia" w:ascii="仿宋_GB2312" w:hAnsi="仿宋_GB2312" w:eastAsia="仿宋_GB2312" w:cs="仿宋_GB2312"/>
          <w:szCs w:val="28"/>
          <w:lang w:val="en-US" w:eastAsia="zh-CN"/>
        </w:rPr>
        <w:t>为0.45.</w:t>
      </w:r>
    </w:p>
    <w:p>
      <w:pPr>
        <w:pStyle w:val="14"/>
        <w:ind w:firstLine="560" w:firstLineChars="200"/>
        <w:rPr>
          <w:rFonts w:hint="eastAsia" w:ascii="仿宋_GB2312" w:hAnsi="仿宋_GB2312" w:eastAsia="仿宋_GB2312" w:cs="仿宋_GB2312"/>
          <w:szCs w:val="28"/>
        </w:rPr>
      </w:pPr>
      <w:r>
        <w:rPr>
          <w:rFonts w:hint="eastAsia" w:ascii="仿宋_GB2312" w:hAnsi="仿宋_GB2312" w:eastAsia="仿宋_GB2312" w:cs="仿宋_GB2312"/>
          <w:szCs w:val="28"/>
        </w:rPr>
        <w:t>2、本竞赛环节总时长为连续</w:t>
      </w:r>
      <w:r>
        <w:rPr>
          <w:rFonts w:hint="eastAsia" w:ascii="仿宋_GB2312" w:hAnsi="仿宋_GB2312" w:eastAsia="仿宋_GB2312" w:cs="仿宋_GB2312"/>
          <w:szCs w:val="28"/>
          <w:lang w:val="en-US" w:eastAsia="zh-CN"/>
        </w:rPr>
        <w:t>90</w:t>
      </w:r>
      <w:r>
        <w:rPr>
          <w:rFonts w:hint="eastAsia" w:ascii="仿宋_GB2312" w:hAnsi="仿宋_GB2312" w:eastAsia="仿宋_GB2312" w:cs="仿宋_GB2312"/>
          <w:szCs w:val="28"/>
        </w:rPr>
        <w:t>分钟。</w:t>
      </w:r>
    </w:p>
    <w:p>
      <w:pPr>
        <w:keepNext w:val="0"/>
        <w:keepLines w:val="0"/>
        <w:widowControl/>
        <w:suppressLineNumbers w:val="0"/>
        <w:ind w:firstLine="56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3、竞赛过程中请参赛选手注意赛场纪律，严格按照操作规程施工。正确佩戴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和使用劳保用品，安全文明施工。 </w:t>
      </w:r>
    </w:p>
    <w:p>
      <w:pPr>
        <w:keepNext w:val="0"/>
        <w:keepLines w:val="0"/>
        <w:widowControl/>
        <w:suppressLineNumbers w:val="0"/>
        <w:ind w:firstLine="56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4、竞赛过程中遇到意外情况，应及时向当值裁判报告，听从裁判安排，不要 </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自行处理。</w:t>
      </w:r>
    </w:p>
    <w:p>
      <w:pPr>
        <w:keepNext w:val="0"/>
        <w:keepLines w:val="0"/>
        <w:widowControl/>
        <w:numPr>
          <w:ilvl w:val="0"/>
          <w:numId w:val="2"/>
        </w:numPr>
        <w:suppressLineNumbers w:val="0"/>
        <w:ind w:firstLine="56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工位示意图</w:t>
      </w:r>
    </w:p>
    <w:p>
      <w:pPr>
        <w:keepNext w:val="0"/>
        <w:keepLines w:val="0"/>
        <w:widowControl/>
        <w:numPr>
          <w:ilvl w:val="0"/>
          <w:numId w:val="0"/>
        </w:numPr>
        <w:suppressLineNumbers w:val="0"/>
        <w:jc w:val="left"/>
        <w:rPr>
          <w:rFonts w:hint="eastAsia" w:ascii="仿宋_GB2312" w:hAnsi="仿宋_GB2312" w:eastAsia="仿宋_GB2312" w:cs="仿宋_GB2312"/>
          <w:b/>
          <w:bCs/>
          <w:color w:val="auto"/>
          <w:u w:val="single"/>
          <w:lang w:eastAsia="zh-CN"/>
        </w:rPr>
      </w:pPr>
      <w:r>
        <w:rPr>
          <w:rFonts w:hint="eastAsia" w:ascii="仿宋_GB2312" w:hAnsi="仿宋_GB2312" w:eastAsia="仿宋_GB2312" w:cs="仿宋_GB2312"/>
        </w:rPr>
        <w:drawing>
          <wp:inline distT="0" distB="0" distL="114300" distR="114300">
            <wp:extent cx="6628765" cy="3491230"/>
            <wp:effectExtent l="0" t="0" r="635"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rcRect l="14215" r="14513" b="6088"/>
                    <a:stretch>
                      <a:fillRect/>
                    </a:stretch>
                  </pic:blipFill>
                  <pic:spPr>
                    <a:xfrm>
                      <a:off x="0" y="0"/>
                      <a:ext cx="6628765" cy="3491230"/>
                    </a:xfrm>
                    <a:prstGeom prst="rect">
                      <a:avLst/>
                    </a:prstGeom>
                    <a:noFill/>
                    <a:ln>
                      <a:noFill/>
                    </a:ln>
                  </pic:spPr>
                </pic:pic>
              </a:graphicData>
            </a:graphic>
          </wp:inline>
        </w:drawing>
      </w:r>
    </w:p>
    <w:p>
      <w:pPr>
        <w:keepNext w:val="0"/>
        <w:keepLines w:val="0"/>
        <w:widowControl/>
        <w:numPr>
          <w:ilvl w:val="0"/>
          <w:numId w:val="3"/>
        </w:numPr>
        <w:suppressLineNumbers w:val="0"/>
        <w:jc w:val="left"/>
        <w:rPr>
          <w:rFonts w:hint="eastAsia"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竞赛任务要求</w:t>
      </w:r>
    </w:p>
    <w:p>
      <w:pPr>
        <w:keepNext w:val="0"/>
        <w:keepLines w:val="0"/>
        <w:widowControl/>
        <w:numPr>
          <w:ilvl w:val="0"/>
          <w:numId w:val="0"/>
        </w:numPr>
        <w:suppressLineNumbers w:val="0"/>
        <w:ind w:firstLine="56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工位示意图中墙板材料存放区存放多块预制板材，选手按图示要求选剪力墙板按《规范》吊装并安装如下图所示，并对角柱进行模板安装。</w:t>
      </w:r>
    </w:p>
    <w:p>
      <w:pPr>
        <w:keepNext w:val="0"/>
        <w:keepLines w:val="0"/>
        <w:widowControl/>
        <w:numPr>
          <w:ilvl w:val="0"/>
          <w:numId w:val="0"/>
        </w:numPr>
        <w:suppressLineNumbers w:val="0"/>
        <w:ind w:firstLine="56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YNQ-01要求：砼强度C35;连接方式灌浆套筒连接；构件尺寸1000x1250x200,（长x高x厚）。</w:t>
      </w:r>
    </w:p>
    <w:p>
      <w:pPr>
        <w:keepNext w:val="0"/>
        <w:keepLines w:val="0"/>
        <w:widowControl/>
        <w:numPr>
          <w:ilvl w:val="0"/>
          <w:numId w:val="0"/>
        </w:numPr>
        <w:suppressLineNumbers w:val="0"/>
        <w:ind w:firstLine="560" w:firstLineChars="20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YNQ-02要求：砼强度C35;连接方式灌浆套筒连接；构件尺寸1000x1250x200,（长x高x厚）。</w:t>
      </w:r>
    </w:p>
    <w:p>
      <w:pPr>
        <w:keepNext w:val="0"/>
        <w:keepLines w:val="0"/>
        <w:widowControl/>
        <w:numPr>
          <w:ilvl w:val="0"/>
          <w:numId w:val="0"/>
        </w:numPr>
        <w:suppressLineNumbers w:val="0"/>
        <w:ind w:firstLine="420" w:firstLineChars="200"/>
        <w:jc w:val="left"/>
        <w:rPr>
          <w:rFonts w:hint="eastAsia" w:ascii="仿宋_GB2312" w:hAnsi="仿宋_GB2312" w:eastAsia="仿宋_GB2312" w:cs="仿宋_GB2312"/>
          <w:lang w:val="en-US" w:eastAsia="zh-CN"/>
        </w:rPr>
      </w:pPr>
      <w:r>
        <w:rPr>
          <w:rFonts w:hint="eastAsia" w:ascii="仿宋_GB2312" w:hAnsi="仿宋_GB2312" w:eastAsia="仿宋_GB2312" w:cs="仿宋_GB2312"/>
        </w:rPr>
        <w:drawing>
          <wp:inline distT="0" distB="0" distL="114300" distR="114300">
            <wp:extent cx="6391275" cy="2549525"/>
            <wp:effectExtent l="0" t="0" r="9525" b="317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2"/>
                    <a:srcRect t="4470" r="3158"/>
                    <a:stretch>
                      <a:fillRect/>
                    </a:stretch>
                  </pic:blipFill>
                  <pic:spPr>
                    <a:xfrm>
                      <a:off x="0" y="0"/>
                      <a:ext cx="6391275" cy="2549525"/>
                    </a:xfrm>
                    <a:prstGeom prst="rect">
                      <a:avLst/>
                    </a:prstGeom>
                    <a:noFill/>
                    <a:ln>
                      <a:noFill/>
                    </a:ln>
                  </pic:spPr>
                </pic:pic>
              </a:graphicData>
            </a:graphic>
          </wp:inline>
        </w:drawing>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b/>
          <w:bCs/>
          <w:color w:val="000000"/>
          <w:kern w:val="0"/>
          <w:sz w:val="28"/>
          <w:szCs w:val="28"/>
          <w:lang w:val="en-US" w:eastAsia="zh-CN" w:bidi="ar"/>
        </w:rPr>
        <w:t xml:space="preserve">三、竞赛注意事项 </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1、 吊装施工前，应对已完成结构的强度、外观质量、尺寸进行检查；并应对预制构件的砼强度及预制构件和配件的型号、规格、数量等进行检查；</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2、吊装施工前，应清洁接合面，并进行测量放线，设置构件安装定位标识；</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3、吊装施工前，应复核构件装配位置、节点连接构造及临时支撑方案等；</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4、吊装施工前，应检查复核吊装设备及吊具处于安全操作状态；</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5、预制构件安装前，构件底部应设置可调整接缝厚度和底部标高的垫块；</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6、吊装就位后，应及时校准并采取临时固定措施；</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7、选手确认提前完成、申请离场，在完成全部任务要求的前提下现场裁判确认提前完成时间量。未全部完成任务而提前离场的不计算时间提前量。</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p>
    <w:p>
      <w:pPr>
        <w:pStyle w:val="14"/>
        <w:jc w:val="center"/>
        <w:rPr>
          <w:rFonts w:hint="eastAsia" w:ascii="仿宋_GB2312" w:hAnsi="仿宋_GB2312" w:eastAsia="仿宋_GB2312" w:cs="仿宋_GB2312"/>
          <w:b/>
          <w:sz w:val="30"/>
          <w:szCs w:val="30"/>
        </w:rPr>
      </w:pPr>
      <w:bookmarkStart w:id="0" w:name="_GoBack"/>
      <w:bookmarkEnd w:id="0"/>
      <w:r>
        <w:rPr>
          <w:rFonts w:hint="eastAsia" w:ascii="仿宋_GB2312" w:hAnsi="仿宋_GB2312" w:eastAsia="仿宋_GB2312" w:cs="仿宋_GB2312"/>
          <w:b/>
          <w:sz w:val="30"/>
          <w:szCs w:val="30"/>
        </w:rPr>
        <w:t>202</w:t>
      </w:r>
      <w:r>
        <w:rPr>
          <w:rFonts w:hint="eastAsia" w:ascii="仿宋_GB2312" w:hAnsi="仿宋_GB2312" w:eastAsia="仿宋_GB2312" w:cs="仿宋_GB2312"/>
          <w:b/>
          <w:sz w:val="30"/>
          <w:szCs w:val="30"/>
          <w:lang w:val="en-US" w:eastAsia="zh-CN"/>
        </w:rPr>
        <w:t>3</w:t>
      </w:r>
      <w:r>
        <w:rPr>
          <w:rFonts w:hint="eastAsia" w:ascii="仿宋_GB2312" w:hAnsi="仿宋_GB2312" w:eastAsia="仿宋_GB2312" w:cs="仿宋_GB2312"/>
          <w:b/>
          <w:sz w:val="30"/>
          <w:szCs w:val="30"/>
        </w:rPr>
        <w:t>全国职业院校技能大赛中职组装配式建筑构</w:t>
      </w:r>
      <w:r>
        <w:rPr>
          <w:rFonts w:hint="eastAsia" w:ascii="仿宋_GB2312" w:hAnsi="仿宋_GB2312" w:eastAsia="仿宋_GB2312" w:cs="仿宋_GB2312"/>
          <w:b/>
          <w:sz w:val="30"/>
          <w:szCs w:val="30"/>
          <w:lang w:val="en-US" w:eastAsia="zh-CN"/>
        </w:rPr>
        <w:t>件安装</w:t>
      </w:r>
      <w:r>
        <w:rPr>
          <w:rFonts w:hint="eastAsia" w:ascii="仿宋_GB2312" w:hAnsi="仿宋_GB2312" w:eastAsia="仿宋_GB2312" w:cs="仿宋_GB2312"/>
          <w:b/>
          <w:sz w:val="30"/>
          <w:szCs w:val="30"/>
        </w:rPr>
        <w:t>赛项</w:t>
      </w:r>
    </w:p>
    <w:p>
      <w:pPr>
        <w:pStyle w:val="14"/>
        <w:jc w:val="center"/>
        <w:rPr>
          <w:rFonts w:hint="eastAsia" w:ascii="仿宋_GB2312" w:hAnsi="仿宋_GB2312" w:eastAsia="仿宋_GB2312" w:cs="仿宋_GB2312"/>
          <w:b/>
          <w:kern w:val="0"/>
          <w:sz w:val="30"/>
          <w:szCs w:val="30"/>
        </w:rPr>
      </w:pPr>
      <w:r>
        <w:rPr>
          <w:rFonts w:hint="eastAsia" w:ascii="仿宋_GB2312" w:hAnsi="仿宋_GB2312" w:eastAsia="仿宋_GB2312" w:cs="仿宋_GB2312"/>
          <w:b/>
          <w:sz w:val="30"/>
          <w:szCs w:val="30"/>
          <w:lang w:val="en-US" w:eastAsia="zh-CN"/>
        </w:rPr>
        <w:t>模块二任务二灌浆</w:t>
      </w:r>
      <w:r>
        <w:rPr>
          <w:rFonts w:hint="eastAsia" w:ascii="仿宋_GB2312" w:hAnsi="仿宋_GB2312" w:eastAsia="仿宋_GB2312" w:cs="仿宋_GB2312"/>
          <w:b/>
          <w:kern w:val="0"/>
          <w:sz w:val="30"/>
          <w:szCs w:val="30"/>
        </w:rPr>
        <w:t>环节任务书</w:t>
      </w:r>
    </w:p>
    <w:p>
      <w:pPr>
        <w:pStyle w:val="14"/>
        <w:jc w:val="right"/>
      </w:pPr>
      <w:r>
        <w:rPr>
          <w:rFonts w:cs="IDÑ˛"/>
          <w:kern w:val="0"/>
          <w:szCs w:val="28"/>
        </w:rPr>
        <w:t>工位号：____________</w:t>
      </w:r>
    </w:p>
    <w:p>
      <w:pPr>
        <w:pStyle w:val="14"/>
        <w:ind w:firstLine="562" w:firstLineChars="200"/>
        <w:rPr>
          <w:rFonts w:hint="eastAsia" w:ascii="仿宋_GB2312" w:hAnsi="仿宋_GB2312" w:eastAsia="仿宋_GB2312" w:cs="仿宋_GB2312"/>
          <w:b/>
          <w:szCs w:val="28"/>
        </w:rPr>
      </w:pPr>
      <w:r>
        <w:rPr>
          <w:rFonts w:hint="eastAsia" w:ascii="仿宋_GB2312" w:hAnsi="仿宋_GB2312" w:eastAsia="仿宋_GB2312" w:cs="仿宋_GB2312"/>
          <w:b/>
          <w:szCs w:val="28"/>
        </w:rPr>
        <w:t>一、竞赛须知</w:t>
      </w:r>
    </w:p>
    <w:p>
      <w:pPr>
        <w:pStyle w:val="14"/>
        <w:ind w:firstLine="560" w:firstLineChars="200"/>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1、本竞赛环节为师生3人（1个老师2个学生）合作竞技项目，3人合作完成 “装配式建筑构件安装赛项灌浆”，分值为100分。该环节加权系数为0.35 。</w:t>
      </w:r>
    </w:p>
    <w:p>
      <w:pPr>
        <w:pStyle w:val="14"/>
        <w:ind w:firstLine="560" w:firstLineChars="200"/>
        <w:rPr>
          <w:rFonts w:hint="eastAsia" w:ascii="仿宋_GB2312" w:hAnsi="仿宋_GB2312" w:eastAsia="仿宋_GB2312" w:cs="仿宋_GB2312"/>
          <w:szCs w:val="28"/>
        </w:rPr>
      </w:pPr>
      <w:r>
        <w:rPr>
          <w:rFonts w:hint="eastAsia" w:ascii="仿宋_GB2312" w:hAnsi="仿宋_GB2312" w:eastAsia="仿宋_GB2312" w:cs="仿宋_GB2312"/>
          <w:szCs w:val="28"/>
        </w:rPr>
        <w:t>2、本竞赛环节总时长为连续</w:t>
      </w:r>
      <w:r>
        <w:rPr>
          <w:rFonts w:hint="eastAsia" w:ascii="仿宋_GB2312" w:hAnsi="仿宋_GB2312" w:eastAsia="仿宋_GB2312" w:cs="仿宋_GB2312"/>
          <w:szCs w:val="28"/>
          <w:lang w:val="en-US" w:eastAsia="zh-CN"/>
        </w:rPr>
        <w:t>90</w:t>
      </w:r>
      <w:r>
        <w:rPr>
          <w:rFonts w:hint="eastAsia" w:ascii="仿宋_GB2312" w:hAnsi="仿宋_GB2312" w:eastAsia="仿宋_GB2312" w:cs="仿宋_GB2312"/>
          <w:szCs w:val="28"/>
        </w:rPr>
        <w:t>分钟。</w:t>
      </w:r>
    </w:p>
    <w:p>
      <w:pPr>
        <w:keepNext w:val="0"/>
        <w:keepLines w:val="0"/>
        <w:widowControl/>
        <w:suppressLineNumbers w:val="0"/>
        <w:ind w:firstLine="56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3、竞赛过程中请参赛选手注意赛场纪律，严格按照操作规程施工。正确佩戴 </w:t>
      </w: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和使用劳保用品，安全文明施工。 </w:t>
      </w:r>
    </w:p>
    <w:p>
      <w:pPr>
        <w:keepNext w:val="0"/>
        <w:keepLines w:val="0"/>
        <w:widowControl/>
        <w:suppressLineNumbers w:val="0"/>
        <w:ind w:firstLine="560" w:firstLineChars="200"/>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8"/>
          <w:szCs w:val="28"/>
          <w:lang w:val="en-US" w:eastAsia="zh-CN" w:bidi="ar"/>
        </w:rPr>
        <w:t xml:space="preserve">4、竞赛过程中遇到意外情况，应及时向当值裁判报告，听从裁判安排，不要 </w:t>
      </w:r>
    </w:p>
    <w:p>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自行处理。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0" w:lineRule="atLeast"/>
        <w:ind w:firstLine="560" w:firstLineChars="200"/>
        <w:jc w:val="left"/>
        <w:textAlignment w:val="auto"/>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5、工位示意图</w:t>
      </w:r>
    </w:p>
    <w:p>
      <w:pPr>
        <w:pStyle w:val="2"/>
        <w:pageBreakBefore w:val="0"/>
        <w:numPr>
          <w:ilvl w:val="3"/>
          <w:numId w:val="0"/>
        </w:numPr>
        <w:kinsoku/>
        <w:wordWrap/>
        <w:overflowPunct/>
        <w:topLinePunct w:val="0"/>
        <w:autoSpaceDE/>
        <w:autoSpaceDN/>
        <w:bidi w:val="0"/>
        <w:adjustRightInd/>
        <w:snapToGrid/>
        <w:spacing w:line="0" w:lineRule="atLeast"/>
        <w:ind w:leftChars="0"/>
        <w:jc w:val="center"/>
        <w:textAlignment w:val="auto"/>
        <w:rPr>
          <w:rFonts w:hint="eastAsia"/>
          <w:lang w:val="en-US" w:eastAsia="zh-CN"/>
        </w:rPr>
      </w:pPr>
      <w:r>
        <w:drawing>
          <wp:inline distT="0" distB="0" distL="114300" distR="114300">
            <wp:extent cx="5804535" cy="3407410"/>
            <wp:effectExtent l="0" t="0" r="571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5804535" cy="3407410"/>
                    </a:xfrm>
                    <a:prstGeom prst="rect">
                      <a:avLst/>
                    </a:prstGeom>
                    <a:noFill/>
                    <a:ln>
                      <a:noFill/>
                    </a:ln>
                  </pic:spPr>
                </pic:pic>
              </a:graphicData>
            </a:graphic>
          </wp:inline>
        </w:drawing>
      </w:r>
    </w:p>
    <w:p>
      <w:pPr>
        <w:keepNext w:val="0"/>
        <w:keepLines w:val="0"/>
        <w:widowControl/>
        <w:numPr>
          <w:ilvl w:val="0"/>
          <w:numId w:val="0"/>
        </w:numPr>
        <w:suppressLineNumbers w:val="0"/>
        <w:jc w:val="both"/>
        <w:rPr>
          <w:rFonts w:hint="eastAsia" w:ascii="仿宋_GB2312" w:hAnsi="仿宋_GB2312" w:eastAsia="仿宋_GB2312" w:cs="仿宋_GB2312"/>
        </w:rPr>
      </w:pPr>
    </w:p>
    <w:p>
      <w:pPr>
        <w:keepNext w:val="0"/>
        <w:keepLines w:val="0"/>
        <w:widowControl/>
        <w:numPr>
          <w:ilvl w:val="0"/>
          <w:numId w:val="0"/>
        </w:numPr>
        <w:suppressLineNumbers w:val="0"/>
        <w:jc w:val="left"/>
        <w:rPr>
          <w:rFonts w:hint="eastAsia" w:ascii="仿宋_GB2312" w:hAnsi="仿宋_GB2312" w:eastAsia="仿宋_GB2312" w:cs="仿宋_GB2312"/>
          <w:b/>
          <w:bCs/>
          <w:color w:val="auto"/>
          <w:u w:val="single"/>
          <w:lang w:eastAsia="zh-CN"/>
        </w:rPr>
      </w:pPr>
    </w:p>
    <w:p>
      <w:pPr>
        <w:keepNext w:val="0"/>
        <w:keepLines w:val="0"/>
        <w:widowControl/>
        <w:numPr>
          <w:ilvl w:val="0"/>
          <w:numId w:val="0"/>
        </w:numPr>
        <w:suppressLineNumbers w:val="0"/>
        <w:jc w:val="left"/>
        <w:rPr>
          <w:rFonts w:hint="eastAsia"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二、竞赛任务要求</w:t>
      </w:r>
    </w:p>
    <w:p>
      <w:pPr>
        <w:keepNext w:val="0"/>
        <w:keepLines w:val="0"/>
        <w:widowControl/>
        <w:numPr>
          <w:ilvl w:val="0"/>
          <w:numId w:val="0"/>
        </w:numPr>
        <w:suppressLineNumbers w:val="0"/>
        <w:ind w:firstLine="560" w:firstLineChars="200"/>
        <w:jc w:val="left"/>
        <w:rPr>
          <w:rFonts w:hint="eastAsia" w:ascii="仿宋_GB2312" w:hAnsi="仿宋_GB2312" w:eastAsia="仿宋_GB2312" w:cs="仿宋_GB2312"/>
          <w:lang w:val="en-US" w:eastAsia="zh-CN"/>
        </w:rPr>
      </w:pPr>
      <w:r>
        <w:rPr>
          <w:rFonts w:hint="eastAsia" w:ascii="仿宋_GB2312" w:hAnsi="仿宋_GB2312" w:eastAsia="仿宋_GB2312" w:cs="仿宋_GB2312"/>
          <w:color w:val="000000"/>
          <w:kern w:val="0"/>
          <w:sz w:val="28"/>
          <w:szCs w:val="28"/>
          <w:lang w:val="en-US" w:eastAsia="zh-CN" w:bidi="ar"/>
        </w:rPr>
        <w:t>工位示意图中灌注柱尺寸为:400x400x660mm（长x宽x高）,选手按设计要求选C30柱按《规范》灌浆如下图所示：</w:t>
      </w:r>
      <w:r>
        <w:rPr>
          <w:rFonts w:hint="eastAsia" w:ascii="仿宋_GB2312" w:hAnsi="仿宋_GB2312" w:eastAsia="仿宋_GB2312" w:cs="仿宋_GB2312"/>
        </w:rPr>
        <w:drawing>
          <wp:inline distT="0" distB="0" distL="114300" distR="114300">
            <wp:extent cx="5897245" cy="5706745"/>
            <wp:effectExtent l="0" t="0" r="8255" b="8255"/>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4"/>
                    <a:stretch>
                      <a:fillRect/>
                    </a:stretch>
                  </pic:blipFill>
                  <pic:spPr>
                    <a:xfrm>
                      <a:off x="0" y="0"/>
                      <a:ext cx="5897245" cy="5706745"/>
                    </a:xfrm>
                    <a:prstGeom prst="rect">
                      <a:avLst/>
                    </a:prstGeom>
                    <a:noFill/>
                    <a:ln>
                      <a:noFill/>
                    </a:ln>
                  </pic:spPr>
                </pic:pic>
              </a:graphicData>
            </a:graphic>
          </wp:inline>
        </w:drawing>
      </w:r>
    </w:p>
    <w:p>
      <w:pPr>
        <w:pStyle w:val="2"/>
        <w:numPr>
          <w:ilvl w:val="3"/>
          <w:numId w:val="0"/>
        </w:numPr>
        <w:ind w:leftChars="0"/>
        <w:rPr>
          <w:rFonts w:hint="eastAsia" w:ascii="仿宋_GB2312" w:hAnsi="仿宋_GB2312" w:eastAsia="仿宋_GB2312" w:cs="仿宋_GB2312"/>
        </w:rPr>
      </w:pPr>
      <w:r>
        <w:rPr>
          <w:rFonts w:hint="eastAsia" w:ascii="仿宋_GB2312" w:hAnsi="仿宋_GB2312" w:eastAsia="仿宋_GB2312" w:cs="仿宋_GB2312"/>
          <w:lang w:val="en-US" w:eastAsia="zh-CN"/>
        </w:rPr>
        <w:t xml:space="preserve">                        </w:t>
      </w:r>
      <w:r>
        <w:rPr>
          <w:rFonts w:hint="eastAsia" w:ascii="仿宋_GB2312" w:hAnsi="仿宋_GB2312" w:eastAsia="仿宋_GB2312" w:cs="仿宋_GB2312"/>
        </w:rPr>
        <w:drawing>
          <wp:inline distT="0" distB="0" distL="114300" distR="114300">
            <wp:extent cx="1129665" cy="445770"/>
            <wp:effectExtent l="0" t="0" r="13335" b="1143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5"/>
                    <a:stretch>
                      <a:fillRect/>
                    </a:stretch>
                  </pic:blipFill>
                  <pic:spPr>
                    <a:xfrm>
                      <a:off x="0" y="0"/>
                      <a:ext cx="1129665" cy="445770"/>
                    </a:xfrm>
                    <a:prstGeom prst="rect">
                      <a:avLst/>
                    </a:prstGeom>
                    <a:noFill/>
                    <a:ln>
                      <a:noFill/>
                    </a:ln>
                  </pic:spPr>
                </pic:pic>
              </a:graphicData>
            </a:graphic>
          </wp:inline>
        </w:drawing>
      </w:r>
    </w:p>
    <w:p>
      <w:pPr>
        <w:rPr>
          <w:rFonts w:hint="eastAsia" w:ascii="仿宋_GB2312" w:hAnsi="仿宋_GB2312" w:eastAsia="仿宋_GB2312" w:cs="仿宋_GB2312"/>
          <w:lang w:val="en-US" w:eastAsia="zh-CN"/>
        </w:rPr>
      </w:pPr>
    </w:p>
    <w:p>
      <w:pPr>
        <w:keepNext w:val="0"/>
        <w:keepLines w:val="0"/>
        <w:widowControl/>
        <w:suppressLineNumbers w:val="0"/>
        <w:jc w:val="left"/>
        <w:rPr>
          <w:rFonts w:hint="eastAsia" w:ascii="仿宋_GB2312" w:hAnsi="仿宋_GB2312" w:eastAsia="仿宋_GB2312" w:cs="仿宋_GB2312"/>
        </w:rPr>
      </w:pPr>
      <w:r>
        <w:rPr>
          <w:rFonts w:hint="eastAsia" w:ascii="仿宋_GB2312" w:hAnsi="仿宋_GB2312" w:eastAsia="仿宋_GB2312" w:cs="仿宋_GB2312"/>
          <w:b/>
          <w:bCs/>
          <w:color w:val="000000"/>
          <w:kern w:val="0"/>
          <w:sz w:val="28"/>
          <w:szCs w:val="28"/>
          <w:lang w:val="en-US" w:eastAsia="zh-CN" w:bidi="ar"/>
        </w:rPr>
        <w:t xml:space="preserve">三、竞赛注意事项 </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1、 灌浆施工前，应对已完成结构的强度、外观质量、尺寸进行检查；并应对预制构件的砼强度及预制构件和配件的型号、规格、数量等进行检查；</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2、灌浆施工前，应清洁接合面，并进行测量放线，设置构件安装定位标识；</w:t>
      </w:r>
    </w:p>
    <w:p>
      <w:pPr>
        <w:keepNext w:val="0"/>
        <w:keepLines w:val="0"/>
        <w:widowControl/>
        <w:suppressLineNumbers w:val="0"/>
        <w:jc w:val="left"/>
        <w:rPr>
          <w:rFonts w:hint="eastAsia" w:ascii="仿宋_GB2312" w:hAnsi="仿宋_GB2312" w:eastAsia="仿宋_GB2312" w:cs="仿宋_GB2312"/>
          <w:lang w:val="en-US"/>
        </w:rPr>
      </w:pPr>
      <w:r>
        <w:rPr>
          <w:rFonts w:hint="eastAsia" w:ascii="仿宋_GB2312" w:hAnsi="仿宋_GB2312" w:eastAsia="仿宋_GB2312" w:cs="仿宋_GB2312"/>
          <w:color w:val="000000"/>
          <w:kern w:val="0"/>
          <w:sz w:val="28"/>
          <w:szCs w:val="28"/>
          <w:lang w:val="en-US" w:eastAsia="zh-CN" w:bidi="ar"/>
        </w:rPr>
        <w:t>3、灌浆施工前，应复核构件灌浆孔位及临时支撑方案等；</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4、吊装施工前，应检查复核吊装设备及吊具处于安全操作状态；</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5、吊装就位后，应及时校准并采取临时固定措施；</w:t>
      </w:r>
    </w:p>
    <w:p>
      <w:pPr>
        <w:keepNext w:val="0"/>
        <w:keepLines w:val="0"/>
        <w:widowControl/>
        <w:suppressLineNumbers w:val="0"/>
        <w:jc w:val="left"/>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6、选手完成后必须恢复工位、清理现场，在完成全部任务要求的前提下现场裁判确认提前完成时间量。未全部完成任务而提前离场的不计算时间提前量。</w:t>
      </w:r>
    </w:p>
    <w:p>
      <w:pPr>
        <w:keepNext w:val="0"/>
        <w:keepLines w:val="0"/>
        <w:widowControl/>
        <w:numPr>
          <w:ilvl w:val="0"/>
          <w:numId w:val="0"/>
        </w:numPr>
        <w:suppressLineNumbers w:val="0"/>
        <w:jc w:val="left"/>
        <w:rPr>
          <w:sz w:val="24"/>
          <w:szCs w:val="24"/>
        </w:rPr>
      </w:pPr>
    </w:p>
    <w:p>
      <w:pPr>
        <w:keepNext w:val="0"/>
        <w:keepLines w:val="0"/>
        <w:widowControl/>
        <w:numPr>
          <w:ilvl w:val="0"/>
          <w:numId w:val="0"/>
        </w:numPr>
        <w:suppressLineNumbers w:val="0"/>
        <w:jc w:val="left"/>
        <w:rPr>
          <w:sz w:val="24"/>
          <w:szCs w:val="24"/>
          <w:lang w:val="en-US" w:eastAsia="zh-CN"/>
        </w:rPr>
      </w:pPr>
    </w:p>
    <w:p>
      <w:pPr>
        <w:keepNext w:val="0"/>
        <w:keepLines w:val="0"/>
        <w:widowControl/>
        <w:suppressLineNumbers w:val="0"/>
        <w:jc w:val="left"/>
        <w:rPr>
          <w:rFonts w:hint="eastAsia" w:ascii="仿宋" w:hAnsi="仿宋" w:eastAsia="仿宋" w:cs="仿宋"/>
          <w:color w:val="000000"/>
          <w:kern w:val="0"/>
          <w:sz w:val="28"/>
          <w:szCs w:val="28"/>
          <w:lang w:val="en-US" w:eastAsia="zh-CN" w:bidi="ar"/>
        </w:rPr>
      </w:pPr>
    </w:p>
    <w:p>
      <w:pPr>
        <w:pStyle w:val="14"/>
        <w:rPr>
          <w:rFonts w:hint="eastAsia"/>
          <w:szCs w:val="28"/>
        </w:rPr>
      </w:pPr>
    </w:p>
    <w:p>
      <w:pPr>
        <w:pStyle w:val="14"/>
        <w:rPr>
          <w:rFonts w:hint="eastAsia"/>
          <w:szCs w:val="28"/>
        </w:rPr>
      </w:pPr>
    </w:p>
    <w:p>
      <w:pPr>
        <w:pStyle w:val="14"/>
        <w:rPr>
          <w:rFonts w:hint="eastAsia"/>
          <w:szCs w:val="28"/>
        </w:rPr>
      </w:pPr>
      <w:r>
        <w:rPr>
          <w:rFonts w:hint="eastAsia"/>
          <w:szCs w:val="28"/>
        </w:rPr>
        <w:t xml:space="preserve">                               </w:t>
      </w:r>
    </w:p>
    <w:p>
      <w:pPr>
        <w:pStyle w:val="14"/>
        <w:rPr>
          <w:rFonts w:hint="eastAsia"/>
          <w:szCs w:val="28"/>
        </w:rPr>
      </w:pPr>
    </w:p>
    <w:p>
      <w:pPr>
        <w:pStyle w:val="14"/>
        <w:rPr>
          <w:rFonts w:hint="eastAsia"/>
          <w:szCs w:val="28"/>
        </w:rPr>
      </w:pPr>
    </w:p>
    <w:p>
      <w:pPr>
        <w:pStyle w:val="14"/>
        <w:rPr>
          <w:rFonts w:hint="eastAsia"/>
          <w:szCs w:val="28"/>
        </w:rPr>
      </w:pPr>
    </w:p>
    <w:p>
      <w:pPr>
        <w:pStyle w:val="14"/>
        <w:rPr>
          <w:szCs w:val="28"/>
        </w:rPr>
      </w:pPr>
    </w:p>
    <w:sectPr>
      <w:pgSz w:w="23820" w:h="16840" w:orient="landscape"/>
      <w:pgMar w:top="1797" w:right="1440" w:bottom="1797" w:left="1440" w:header="851" w:footer="992" w:gutter="0"/>
      <w:cols w:space="840"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IDÑ˛">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74DAC7"/>
    <w:multiLevelType w:val="multilevel"/>
    <w:tmpl w:val="9D74DAC7"/>
    <w:lvl w:ilvl="0" w:tentative="0">
      <w:start w:val="1"/>
      <w:numFmt w:val="chineseCountingThousand"/>
      <w:lvlText w:val="%1、"/>
      <w:lvlJc w:val="left"/>
      <w:pPr>
        <w:ind w:left="432" w:hanging="432"/>
      </w:pPr>
      <w:rPr>
        <w:rFonts w:hint="eastAsia"/>
        <w:b w:val="0"/>
        <w:bCs w:val="0"/>
        <w:i w:val="0"/>
        <w:iCs w:val="0"/>
        <w:caps w:val="0"/>
        <w:smallCaps w:val="0"/>
        <w:strike w:val="0"/>
        <w:dstrike w:val="0"/>
        <w:vanish w:val="0"/>
        <w:spacing w:val="0"/>
        <w:position w:val="0"/>
        <w:u w:val="none"/>
        <w:vertAlign w:val="baseline"/>
      </w:rPr>
    </w:lvl>
    <w:lvl w:ilvl="1" w:tentative="0">
      <w:start w:val="1"/>
      <w:numFmt w:val="decimal"/>
      <w:lvlText w:val="%1.%2"/>
      <w:lvlJc w:val="left"/>
      <w:pPr>
        <w:ind w:left="576" w:hanging="576"/>
      </w:pPr>
      <w:rPr>
        <w:rFonts w:hint="eastAsia"/>
        <w:b w:val="0"/>
        <w:bCs w:val="0"/>
        <w:i w:val="0"/>
        <w:iCs w:val="0"/>
        <w:caps w:val="0"/>
        <w:smallCaps w:val="0"/>
        <w:strike w:val="0"/>
        <w:dstrike w:val="0"/>
        <w:vanish w:val="0"/>
        <w:spacing w:val="0"/>
        <w:position w:val="0"/>
        <w:u w:val="none"/>
        <w:vertAlign w:val="baseline"/>
      </w:rPr>
    </w:lvl>
    <w:lvl w:ilvl="2" w:tentative="0">
      <w:start w:val="1"/>
      <w:numFmt w:val="decimal"/>
      <w:lvlText w:val="%1.%2.%3"/>
      <w:lvlJc w:val="left"/>
      <w:pPr>
        <w:ind w:left="720" w:hanging="720"/>
      </w:pPr>
      <w:rPr>
        <w:rFonts w:hint="eastAsia"/>
      </w:rPr>
    </w:lvl>
    <w:lvl w:ilvl="3" w:tentative="0">
      <w:start w:val="1"/>
      <w:numFmt w:val="decimal"/>
      <w:pStyle w:val="2"/>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
    <w:nsid w:val="FA7AE91D"/>
    <w:multiLevelType w:val="singleLevel"/>
    <w:tmpl w:val="FA7AE91D"/>
    <w:lvl w:ilvl="0" w:tentative="0">
      <w:start w:val="5"/>
      <w:numFmt w:val="decimal"/>
      <w:suff w:val="nothing"/>
      <w:lvlText w:val="%1、"/>
      <w:lvlJc w:val="left"/>
    </w:lvl>
  </w:abstractNum>
  <w:abstractNum w:abstractNumId="2">
    <w:nsid w:val="0D0DA3ED"/>
    <w:multiLevelType w:val="singleLevel"/>
    <w:tmpl w:val="0D0DA3ED"/>
    <w:lvl w:ilvl="0" w:tentative="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3NzVlODE2OGYwMTNmMzBlYTRkMGQwNDg5NDhmNDgifQ=="/>
  </w:docVars>
  <w:rsids>
    <w:rsidRoot w:val="002C569C"/>
    <w:rsid w:val="0003052F"/>
    <w:rsid w:val="000429C9"/>
    <w:rsid w:val="00053EBA"/>
    <w:rsid w:val="00073E80"/>
    <w:rsid w:val="000A01AE"/>
    <w:rsid w:val="000A1604"/>
    <w:rsid w:val="000A2810"/>
    <w:rsid w:val="000B10E9"/>
    <w:rsid w:val="000B4539"/>
    <w:rsid w:val="000C5B99"/>
    <w:rsid w:val="000E268E"/>
    <w:rsid w:val="000E3DC8"/>
    <w:rsid w:val="001215B1"/>
    <w:rsid w:val="00123FBD"/>
    <w:rsid w:val="00124F10"/>
    <w:rsid w:val="001339CC"/>
    <w:rsid w:val="00182378"/>
    <w:rsid w:val="001A2C09"/>
    <w:rsid w:val="001B7EA5"/>
    <w:rsid w:val="001C2796"/>
    <w:rsid w:val="001C6609"/>
    <w:rsid w:val="001C78CF"/>
    <w:rsid w:val="001D6DF2"/>
    <w:rsid w:val="001E7E31"/>
    <w:rsid w:val="00213E05"/>
    <w:rsid w:val="00214E35"/>
    <w:rsid w:val="0022313F"/>
    <w:rsid w:val="00232EAD"/>
    <w:rsid w:val="00266DD1"/>
    <w:rsid w:val="0027015D"/>
    <w:rsid w:val="00276B6E"/>
    <w:rsid w:val="00283C2D"/>
    <w:rsid w:val="00290D3B"/>
    <w:rsid w:val="002A584E"/>
    <w:rsid w:val="002A6F84"/>
    <w:rsid w:val="002B3D2A"/>
    <w:rsid w:val="002C565E"/>
    <w:rsid w:val="002C569C"/>
    <w:rsid w:val="002F7902"/>
    <w:rsid w:val="00301110"/>
    <w:rsid w:val="003234CF"/>
    <w:rsid w:val="003239C3"/>
    <w:rsid w:val="00331724"/>
    <w:rsid w:val="0034113A"/>
    <w:rsid w:val="0034506E"/>
    <w:rsid w:val="00355996"/>
    <w:rsid w:val="003611AA"/>
    <w:rsid w:val="003658D5"/>
    <w:rsid w:val="00372425"/>
    <w:rsid w:val="00380DAF"/>
    <w:rsid w:val="003B17AC"/>
    <w:rsid w:val="003C2162"/>
    <w:rsid w:val="003E442D"/>
    <w:rsid w:val="0040657F"/>
    <w:rsid w:val="004066D0"/>
    <w:rsid w:val="00407A15"/>
    <w:rsid w:val="004137AB"/>
    <w:rsid w:val="004303C7"/>
    <w:rsid w:val="004601E4"/>
    <w:rsid w:val="0046467D"/>
    <w:rsid w:val="0047584D"/>
    <w:rsid w:val="004829A9"/>
    <w:rsid w:val="00485CBC"/>
    <w:rsid w:val="0049209F"/>
    <w:rsid w:val="004B4882"/>
    <w:rsid w:val="004C11F5"/>
    <w:rsid w:val="004D440C"/>
    <w:rsid w:val="004E5D31"/>
    <w:rsid w:val="004E5DE3"/>
    <w:rsid w:val="004E7842"/>
    <w:rsid w:val="0051401D"/>
    <w:rsid w:val="00515E89"/>
    <w:rsid w:val="00521D22"/>
    <w:rsid w:val="00522534"/>
    <w:rsid w:val="005302CF"/>
    <w:rsid w:val="0054427F"/>
    <w:rsid w:val="0055113A"/>
    <w:rsid w:val="005616DB"/>
    <w:rsid w:val="00570F72"/>
    <w:rsid w:val="005766BB"/>
    <w:rsid w:val="00586DF6"/>
    <w:rsid w:val="005A4900"/>
    <w:rsid w:val="005C4ED1"/>
    <w:rsid w:val="005D723F"/>
    <w:rsid w:val="005F516F"/>
    <w:rsid w:val="006012AE"/>
    <w:rsid w:val="00601A6A"/>
    <w:rsid w:val="0060601E"/>
    <w:rsid w:val="00607EB0"/>
    <w:rsid w:val="00610479"/>
    <w:rsid w:val="00635227"/>
    <w:rsid w:val="006426EB"/>
    <w:rsid w:val="0064512D"/>
    <w:rsid w:val="00653CAE"/>
    <w:rsid w:val="006547AD"/>
    <w:rsid w:val="00663354"/>
    <w:rsid w:val="00677707"/>
    <w:rsid w:val="006D2B6D"/>
    <w:rsid w:val="006D5B0E"/>
    <w:rsid w:val="006D7488"/>
    <w:rsid w:val="0070151A"/>
    <w:rsid w:val="007120CB"/>
    <w:rsid w:val="007124F8"/>
    <w:rsid w:val="007136E1"/>
    <w:rsid w:val="00714282"/>
    <w:rsid w:val="0073731C"/>
    <w:rsid w:val="00745D3A"/>
    <w:rsid w:val="007554AF"/>
    <w:rsid w:val="007629EF"/>
    <w:rsid w:val="007755A9"/>
    <w:rsid w:val="00787205"/>
    <w:rsid w:val="00793CF4"/>
    <w:rsid w:val="007D2222"/>
    <w:rsid w:val="007D67C1"/>
    <w:rsid w:val="007D75FD"/>
    <w:rsid w:val="007E0A96"/>
    <w:rsid w:val="007F00E4"/>
    <w:rsid w:val="007F1146"/>
    <w:rsid w:val="00800731"/>
    <w:rsid w:val="00812641"/>
    <w:rsid w:val="00812774"/>
    <w:rsid w:val="0081646B"/>
    <w:rsid w:val="0082167E"/>
    <w:rsid w:val="00826E87"/>
    <w:rsid w:val="0084206D"/>
    <w:rsid w:val="00850103"/>
    <w:rsid w:val="00855C79"/>
    <w:rsid w:val="00870242"/>
    <w:rsid w:val="00871E15"/>
    <w:rsid w:val="008A3E5A"/>
    <w:rsid w:val="008A6740"/>
    <w:rsid w:val="008D2386"/>
    <w:rsid w:val="008F6DB6"/>
    <w:rsid w:val="0090459C"/>
    <w:rsid w:val="0090631D"/>
    <w:rsid w:val="009251C4"/>
    <w:rsid w:val="009273AE"/>
    <w:rsid w:val="00931331"/>
    <w:rsid w:val="00936C28"/>
    <w:rsid w:val="009452D1"/>
    <w:rsid w:val="00950C1A"/>
    <w:rsid w:val="00952723"/>
    <w:rsid w:val="00966C32"/>
    <w:rsid w:val="00972197"/>
    <w:rsid w:val="009746A7"/>
    <w:rsid w:val="00977307"/>
    <w:rsid w:val="009877EA"/>
    <w:rsid w:val="009B1F1C"/>
    <w:rsid w:val="009B7BE0"/>
    <w:rsid w:val="009C17D4"/>
    <w:rsid w:val="009D24A9"/>
    <w:rsid w:val="009E0477"/>
    <w:rsid w:val="009E0FFA"/>
    <w:rsid w:val="00A240E5"/>
    <w:rsid w:val="00A45CCA"/>
    <w:rsid w:val="00A65F68"/>
    <w:rsid w:val="00A83D68"/>
    <w:rsid w:val="00AB36FC"/>
    <w:rsid w:val="00AC7159"/>
    <w:rsid w:val="00AD31A8"/>
    <w:rsid w:val="00AD34EF"/>
    <w:rsid w:val="00AE3BF0"/>
    <w:rsid w:val="00AE45E5"/>
    <w:rsid w:val="00AF79B9"/>
    <w:rsid w:val="00B10E01"/>
    <w:rsid w:val="00B13464"/>
    <w:rsid w:val="00B422FB"/>
    <w:rsid w:val="00B46535"/>
    <w:rsid w:val="00B56795"/>
    <w:rsid w:val="00B7630F"/>
    <w:rsid w:val="00BC7779"/>
    <w:rsid w:val="00BF0F36"/>
    <w:rsid w:val="00BF3932"/>
    <w:rsid w:val="00BF608F"/>
    <w:rsid w:val="00C05370"/>
    <w:rsid w:val="00C113AB"/>
    <w:rsid w:val="00C21114"/>
    <w:rsid w:val="00C32049"/>
    <w:rsid w:val="00C32F2D"/>
    <w:rsid w:val="00C41EDA"/>
    <w:rsid w:val="00C51C5F"/>
    <w:rsid w:val="00C63AD6"/>
    <w:rsid w:val="00C66D11"/>
    <w:rsid w:val="00C7353B"/>
    <w:rsid w:val="00C755B2"/>
    <w:rsid w:val="00C77D10"/>
    <w:rsid w:val="00C77F1C"/>
    <w:rsid w:val="00C80E77"/>
    <w:rsid w:val="00C83CF4"/>
    <w:rsid w:val="00C96B95"/>
    <w:rsid w:val="00CB13C5"/>
    <w:rsid w:val="00CC0C5A"/>
    <w:rsid w:val="00CC71D1"/>
    <w:rsid w:val="00CD3614"/>
    <w:rsid w:val="00CD5A80"/>
    <w:rsid w:val="00D011D7"/>
    <w:rsid w:val="00D346DB"/>
    <w:rsid w:val="00D41D12"/>
    <w:rsid w:val="00D435B3"/>
    <w:rsid w:val="00D54383"/>
    <w:rsid w:val="00D569DE"/>
    <w:rsid w:val="00D72C29"/>
    <w:rsid w:val="00DA034D"/>
    <w:rsid w:val="00DA6848"/>
    <w:rsid w:val="00DC3767"/>
    <w:rsid w:val="00DC635F"/>
    <w:rsid w:val="00DC705E"/>
    <w:rsid w:val="00DD7A46"/>
    <w:rsid w:val="00DE1C83"/>
    <w:rsid w:val="00DF2ACC"/>
    <w:rsid w:val="00E02626"/>
    <w:rsid w:val="00E10767"/>
    <w:rsid w:val="00E113CB"/>
    <w:rsid w:val="00E12838"/>
    <w:rsid w:val="00E139BB"/>
    <w:rsid w:val="00E14A65"/>
    <w:rsid w:val="00E32103"/>
    <w:rsid w:val="00E505B5"/>
    <w:rsid w:val="00E56DDA"/>
    <w:rsid w:val="00E5731B"/>
    <w:rsid w:val="00E71D12"/>
    <w:rsid w:val="00E755E5"/>
    <w:rsid w:val="00E85E9B"/>
    <w:rsid w:val="00E917BC"/>
    <w:rsid w:val="00E978E7"/>
    <w:rsid w:val="00EE0A65"/>
    <w:rsid w:val="00EE2699"/>
    <w:rsid w:val="00EE5454"/>
    <w:rsid w:val="00EF2E6A"/>
    <w:rsid w:val="00F051D9"/>
    <w:rsid w:val="00F07783"/>
    <w:rsid w:val="00F17B98"/>
    <w:rsid w:val="00F31AC8"/>
    <w:rsid w:val="00F34C26"/>
    <w:rsid w:val="00F52461"/>
    <w:rsid w:val="00F57CD6"/>
    <w:rsid w:val="00F629AA"/>
    <w:rsid w:val="00F6434A"/>
    <w:rsid w:val="00F66A73"/>
    <w:rsid w:val="00F7085C"/>
    <w:rsid w:val="00F81F72"/>
    <w:rsid w:val="00FA3307"/>
    <w:rsid w:val="00FC0FD5"/>
    <w:rsid w:val="00FC7128"/>
    <w:rsid w:val="00FF6F5F"/>
    <w:rsid w:val="01B204B6"/>
    <w:rsid w:val="03DA7C95"/>
    <w:rsid w:val="04232E32"/>
    <w:rsid w:val="04DB6F0B"/>
    <w:rsid w:val="05047743"/>
    <w:rsid w:val="09135F1A"/>
    <w:rsid w:val="09894E2F"/>
    <w:rsid w:val="09D24291"/>
    <w:rsid w:val="0C9B6BDE"/>
    <w:rsid w:val="0FA77F25"/>
    <w:rsid w:val="10A818CA"/>
    <w:rsid w:val="11E4072D"/>
    <w:rsid w:val="135D370D"/>
    <w:rsid w:val="158433EB"/>
    <w:rsid w:val="16784454"/>
    <w:rsid w:val="16BF11DD"/>
    <w:rsid w:val="18B773FA"/>
    <w:rsid w:val="1A25509E"/>
    <w:rsid w:val="1A554F9A"/>
    <w:rsid w:val="1A5C29C2"/>
    <w:rsid w:val="1B651DA3"/>
    <w:rsid w:val="1C645914"/>
    <w:rsid w:val="1FB1776E"/>
    <w:rsid w:val="202969ED"/>
    <w:rsid w:val="20A51A2D"/>
    <w:rsid w:val="215C64E4"/>
    <w:rsid w:val="230A5C8E"/>
    <w:rsid w:val="233C2774"/>
    <w:rsid w:val="23F81EC2"/>
    <w:rsid w:val="274E68CF"/>
    <w:rsid w:val="28C26FAC"/>
    <w:rsid w:val="2BB46F1D"/>
    <w:rsid w:val="2C345BA8"/>
    <w:rsid w:val="2FA054F8"/>
    <w:rsid w:val="300703B5"/>
    <w:rsid w:val="309B0CAA"/>
    <w:rsid w:val="309D2676"/>
    <w:rsid w:val="365D1558"/>
    <w:rsid w:val="37756932"/>
    <w:rsid w:val="37BB49E2"/>
    <w:rsid w:val="38FA4476"/>
    <w:rsid w:val="39E50740"/>
    <w:rsid w:val="3C816724"/>
    <w:rsid w:val="3CC05722"/>
    <w:rsid w:val="3D866913"/>
    <w:rsid w:val="40B01861"/>
    <w:rsid w:val="415657AA"/>
    <w:rsid w:val="433A3380"/>
    <w:rsid w:val="436D36BB"/>
    <w:rsid w:val="43A20BAB"/>
    <w:rsid w:val="4714323A"/>
    <w:rsid w:val="47615D53"/>
    <w:rsid w:val="48270F31"/>
    <w:rsid w:val="4B971718"/>
    <w:rsid w:val="4BE331DB"/>
    <w:rsid w:val="4D517835"/>
    <w:rsid w:val="4DBB4E9D"/>
    <w:rsid w:val="4E3D039E"/>
    <w:rsid w:val="4F310779"/>
    <w:rsid w:val="526B3F2A"/>
    <w:rsid w:val="5358625C"/>
    <w:rsid w:val="53E75832"/>
    <w:rsid w:val="54CE3AA7"/>
    <w:rsid w:val="563A6F01"/>
    <w:rsid w:val="59335998"/>
    <w:rsid w:val="5B4236BA"/>
    <w:rsid w:val="5E887250"/>
    <w:rsid w:val="5F4C0F87"/>
    <w:rsid w:val="607C3FC9"/>
    <w:rsid w:val="6288430B"/>
    <w:rsid w:val="666B2E92"/>
    <w:rsid w:val="677D5B76"/>
    <w:rsid w:val="67E24A1A"/>
    <w:rsid w:val="68677928"/>
    <w:rsid w:val="6BCF0863"/>
    <w:rsid w:val="6C1D139E"/>
    <w:rsid w:val="6C5E68E0"/>
    <w:rsid w:val="6DED535A"/>
    <w:rsid w:val="6F263E64"/>
    <w:rsid w:val="70C80A99"/>
    <w:rsid w:val="74E3372B"/>
    <w:rsid w:val="788B5054"/>
    <w:rsid w:val="79736ACF"/>
    <w:rsid w:val="7BBA57C9"/>
    <w:rsid w:val="7C4461F8"/>
    <w:rsid w:val="7CD0125E"/>
    <w:rsid w:val="7F695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
    <w:pPr>
      <w:keepNext/>
      <w:keepLines/>
      <w:numPr>
        <w:ilvl w:val="3"/>
        <w:numId w:val="1"/>
      </w:numPr>
      <w:spacing w:before="280" w:beforeLines="0" w:beforeAutospacing="0" w:after="290" w:afterLines="0" w:afterAutospacing="0" w:line="240" w:lineRule="auto"/>
      <w:ind w:left="864" w:hanging="864"/>
      <w:outlineLvl w:val="3"/>
    </w:pPr>
    <w:rPr>
      <w:rFonts w:ascii="Arial" w:hAnsi="Arial" w:eastAsia="仿宋" w:cs="Arial"/>
      <w:b/>
      <w:snapToGrid w:val="0"/>
      <w:color w:val="000000"/>
      <w:kern w:val="0"/>
      <w:sz w:val="28"/>
      <w:szCs w:val="21"/>
    </w:rPr>
  </w:style>
  <w:style w:type="character" w:default="1" w:styleId="12">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1"/>
    <w:semiHidden/>
    <w:unhideWhenUsed/>
    <w:qFormat/>
    <w:uiPriority w:val="99"/>
    <w:pPr>
      <w:jc w:val="left"/>
    </w:pPr>
  </w:style>
  <w:style w:type="paragraph" w:styleId="4">
    <w:name w:val="Balloon Text"/>
    <w:basedOn w:val="1"/>
    <w:link w:val="15"/>
    <w:semiHidden/>
    <w:unhideWhenUsed/>
    <w:qFormat/>
    <w:uiPriority w:val="99"/>
    <w:rPr>
      <w:rFonts w:ascii="宋体" w:eastAsia="宋体"/>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9"/>
    <w:unhideWhenUsed/>
    <w:qFormat/>
    <w:uiPriority w:val="99"/>
    <w:pPr>
      <w:widowControl/>
      <w:jc w:val="left"/>
    </w:pPr>
    <w:rPr>
      <w:rFonts w:cs="Times New Roman"/>
      <w:kern w:val="0"/>
      <w:sz w:val="20"/>
      <w:szCs w:val="20"/>
    </w:rPr>
  </w:style>
  <w:style w:type="paragraph" w:styleId="8">
    <w:name w:val="annotation subject"/>
    <w:basedOn w:val="3"/>
    <w:next w:val="3"/>
    <w:link w:val="22"/>
    <w:semiHidden/>
    <w:unhideWhenUsed/>
    <w:qFormat/>
    <w:uiPriority w:val="99"/>
    <w:rPr>
      <w:b/>
      <w:bCs/>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11">
    <w:name w:val="Light Shading Accent 1"/>
    <w:basedOn w:val="9"/>
    <w:qFormat/>
    <w:uiPriority w:val="60"/>
    <w:rPr>
      <w:color w:val="2F5597" w:themeColor="accent1" w:themeShade="BF"/>
      <w:sz w:val="22"/>
      <w:szCs w:val="22"/>
    </w:rPr>
    <w:tblPr>
      <w:tblBorders>
        <w:top w:val="single" w:color="4472C4" w:themeColor="accent1" w:sz="8" w:space="0"/>
        <w:bottom w:val="single" w:color="4472C4"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1" w:themeFillTint="3F"/>
      </w:tcPr>
    </w:tblStylePr>
    <w:tblStylePr w:type="band1Horz">
      <w:tblPr/>
      <w:tcPr>
        <w:tcBorders>
          <w:left w:val="nil"/>
          <w:right w:val="nil"/>
          <w:insideH w:val="nil"/>
          <w:insideV w:val="nil"/>
        </w:tcBorders>
        <w:shd w:val="clear" w:color="auto" w:fill="D0DCF0" w:themeFill="accent1" w:themeFillTint="3F"/>
      </w:tcPr>
    </w:tblStylePr>
  </w:style>
  <w:style w:type="character" w:styleId="13">
    <w:name w:val="annotation reference"/>
    <w:basedOn w:val="12"/>
    <w:semiHidden/>
    <w:unhideWhenUsed/>
    <w:qFormat/>
    <w:uiPriority w:val="99"/>
    <w:rPr>
      <w:sz w:val="21"/>
      <w:szCs w:val="21"/>
    </w:rPr>
  </w:style>
  <w:style w:type="paragraph" w:customStyle="1" w:styleId="14">
    <w:name w:val="仿宋正文"/>
    <w:basedOn w:val="1"/>
    <w:qFormat/>
    <w:uiPriority w:val="0"/>
    <w:rPr>
      <w:rFonts w:ascii="仿宋" w:hAnsi="仿宋" w:eastAsia="仿宋"/>
      <w:sz w:val="28"/>
    </w:rPr>
  </w:style>
  <w:style w:type="character" w:customStyle="1" w:styleId="15">
    <w:name w:val="批注框文本 Char"/>
    <w:basedOn w:val="12"/>
    <w:link w:val="4"/>
    <w:semiHidden/>
    <w:qFormat/>
    <w:uiPriority w:val="99"/>
    <w:rPr>
      <w:rFonts w:ascii="宋体" w:eastAsia="宋体"/>
      <w:sz w:val="18"/>
      <w:szCs w:val="18"/>
    </w:rPr>
  </w:style>
  <w:style w:type="character" w:customStyle="1" w:styleId="16">
    <w:name w:val="页眉 Char"/>
    <w:basedOn w:val="12"/>
    <w:link w:val="6"/>
    <w:qFormat/>
    <w:uiPriority w:val="99"/>
    <w:rPr>
      <w:kern w:val="2"/>
      <w:sz w:val="18"/>
      <w:szCs w:val="18"/>
    </w:rPr>
  </w:style>
  <w:style w:type="character" w:customStyle="1" w:styleId="17">
    <w:name w:val="页脚 Char"/>
    <w:basedOn w:val="12"/>
    <w:link w:val="5"/>
    <w:qFormat/>
    <w:uiPriority w:val="99"/>
    <w:rPr>
      <w:kern w:val="2"/>
      <w:sz w:val="18"/>
      <w:szCs w:val="18"/>
    </w:rPr>
  </w:style>
  <w:style w:type="paragraph" w:customStyle="1" w:styleId="18">
    <w:name w:val="Decimal Aligned"/>
    <w:basedOn w:val="1"/>
    <w:qFormat/>
    <w:uiPriority w:val="40"/>
    <w:pPr>
      <w:widowControl/>
      <w:tabs>
        <w:tab w:val="decimal" w:pos="360"/>
      </w:tabs>
      <w:spacing w:after="200" w:line="276" w:lineRule="auto"/>
      <w:jc w:val="left"/>
    </w:pPr>
    <w:rPr>
      <w:rFonts w:cs="Times New Roman"/>
      <w:kern w:val="0"/>
      <w:sz w:val="22"/>
      <w:szCs w:val="22"/>
    </w:rPr>
  </w:style>
  <w:style w:type="character" w:customStyle="1" w:styleId="19">
    <w:name w:val="脚注文本 Char"/>
    <w:basedOn w:val="12"/>
    <w:link w:val="7"/>
    <w:qFormat/>
    <w:uiPriority w:val="99"/>
    <w:rPr>
      <w:rFonts w:cs="Times New Roman"/>
    </w:rPr>
  </w:style>
  <w:style w:type="character" w:customStyle="1" w:styleId="20">
    <w:name w:val="Subtle Emphasis"/>
    <w:basedOn w:val="12"/>
    <w:qFormat/>
    <w:uiPriority w:val="19"/>
    <w:rPr>
      <w:i/>
      <w:iCs/>
    </w:rPr>
  </w:style>
  <w:style w:type="character" w:customStyle="1" w:styleId="21">
    <w:name w:val="批注文字 Char"/>
    <w:basedOn w:val="12"/>
    <w:link w:val="3"/>
    <w:semiHidden/>
    <w:qFormat/>
    <w:uiPriority w:val="99"/>
    <w:rPr>
      <w:kern w:val="2"/>
      <w:sz w:val="21"/>
      <w:szCs w:val="24"/>
    </w:rPr>
  </w:style>
  <w:style w:type="character" w:customStyle="1" w:styleId="22">
    <w:name w:val="批注主题 Char"/>
    <w:basedOn w:val="21"/>
    <w:link w:val="8"/>
    <w:semiHidden/>
    <w:qFormat/>
    <w:uiPriority w:val="99"/>
    <w:rPr>
      <w:b/>
      <w:bCs/>
      <w:kern w:val="2"/>
      <w:sz w:val="21"/>
      <w:szCs w:val="24"/>
    </w:rPr>
  </w:style>
  <w:style w:type="paragraph" w:styleId="23">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pn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304A73-1C62-45DC-9423-AD3DDA57A9F0}">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6455</Words>
  <Characters>7579</Characters>
  <Lines>34</Lines>
  <Paragraphs>9</Paragraphs>
  <TotalTime>10</TotalTime>
  <ScaleCrop>false</ScaleCrop>
  <LinksUpToDate>false</LinksUpToDate>
  <CharactersWithSpaces>8281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2022-08-22T02:39:00Z</dcterms:created>
  <dc:creator>Microsoft Office User</dc:creator>
  <cp:lastModifiedBy>张国华</cp:lastModifiedBy>
  <cp:lastPrinted>2022-01-20T07:20:00Z</cp:lastPrinted>
  <dcterms:modified xsi:type="dcterms:W3CDTF">2023-04-15T15:00:34Z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B5006516D21B43859F0665906BD28D68_12</vt:lpwstr>
  </property>
</Properties>
</file>